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540pt;height:780pt;mso-position-horizontal-relative:page;mso-position-vertical-relative:page;z-index:-16276480" coordorigin="0,0" coordsize="10800,15600">
            <v:shape style="position:absolute;left:0;top:300;width:10800;height:15000" type="#_x0000_t75" stroked="false">
              <v:imagedata r:id="rId5" o:title=""/>
            </v:shape>
            <v:shape style="position:absolute;left:0;top:0;width:10800;height:15600" coordorigin="0,0" coordsize="10800,15600" path="m10800,15300l0,15300,0,15600,10800,15600,10800,15300xm10800,0l0,0,0,6276,10800,6276,10800,0xe" filled="true" fillcolor="#0075ab" stroked="false">
              <v:path arrowok="t"/>
              <v:fill type="solid"/>
            </v:shape>
            <v:shape style="position:absolute;left:300;top:597;width:5640;height:1848" type="#_x0000_t75" stroked="false">
              <v:imagedata r:id="rId6" o:title=""/>
            </v:shape>
            <v:shape style="position:absolute;left:612;top:859;width:1376;height:1376" type="#_x0000_t75" stroked="false">
              <v:imagedata r:id="rId7" o:title=""/>
            </v:shape>
            <v:shape style="position:absolute;left:6048;top:1084;width:4018;height:942" type="#_x0000_t75" stroked="false">
              <v:imagedata r:id="rId8" o:title=""/>
            </v:shape>
            <v:shape style="position:absolute;left:8216;top:13846;width:1818;height:468" type="#_x0000_t75" stroked="false">
              <v:imagedata r:id="rId9"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4"/>
        </w:rPr>
      </w:pPr>
    </w:p>
    <w:p>
      <w:pPr>
        <w:pStyle w:val="Title"/>
        <w:spacing w:line="324" w:lineRule="auto"/>
      </w:pPr>
      <w:r>
        <w:rPr>
          <w:color w:val="FFFFFF"/>
        </w:rPr>
        <w:t>Microsoft Dynamics 365 Business Central Capabilities &amp; Licensing Guide</w:t>
      </w: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rPr>
          <w:rFonts w:ascii="Segoe UI"/>
        </w:rPr>
      </w:pPr>
    </w:p>
    <w:p>
      <w:pPr>
        <w:pStyle w:val="BodyText"/>
        <w:spacing w:before="10"/>
        <w:rPr>
          <w:rFonts w:ascii="Segoe UI"/>
        </w:rPr>
      </w:pPr>
    </w:p>
    <w:p>
      <w:pPr>
        <w:spacing w:line="163" w:lineRule="exact" w:before="100"/>
        <w:ind w:left="363" w:right="683" w:firstLine="0"/>
        <w:jc w:val="center"/>
        <w:rPr>
          <w:rFonts w:ascii="Segoe UI"/>
          <w:b/>
          <w:sz w:val="14"/>
        </w:rPr>
      </w:pPr>
      <w:r>
        <w:rPr>
          <w:rFonts w:ascii="Segoe UI"/>
          <w:b/>
          <w:sz w:val="14"/>
        </w:rPr>
        <w:t>Bond Consulting Services</w:t>
      </w:r>
    </w:p>
    <w:p>
      <w:pPr>
        <w:spacing w:line="140" w:lineRule="exact" w:before="0"/>
        <w:ind w:left="442" w:right="683" w:firstLine="0"/>
        <w:jc w:val="center"/>
        <w:rPr>
          <w:rFonts w:ascii="Segoe UI"/>
          <w:b/>
          <w:sz w:val="14"/>
        </w:rPr>
      </w:pPr>
      <w:r>
        <w:rPr>
          <w:rFonts w:ascii="Segoe UI"/>
          <w:b/>
          <w:sz w:val="14"/>
        </w:rPr>
        <w:t>3450 E. Spring Street Suite 108, Long Beach, CA 90806</w:t>
      </w:r>
    </w:p>
    <w:p>
      <w:pPr>
        <w:spacing w:line="180" w:lineRule="auto" w:before="15"/>
        <w:ind w:left="4138" w:right="1645" w:hanging="637"/>
        <w:jc w:val="left"/>
        <w:rPr>
          <w:rFonts w:ascii="Segoe UI"/>
          <w:b/>
          <w:sz w:val="14"/>
        </w:rPr>
      </w:pPr>
      <w:r>
        <w:rPr>
          <w:rFonts w:ascii="Segoe UI"/>
          <w:b/>
          <w:sz w:val="14"/>
        </w:rPr>
        <w:t>(562) 988-345</w:t>
      </w:r>
      <w:hyperlink r:id="rId10">
        <w:r>
          <w:rPr>
            <w:rFonts w:ascii="Segoe UI"/>
            <w:b/>
            <w:sz w:val="14"/>
          </w:rPr>
          <w:t>1 sales@BondConsultingServices.com</w:t>
        </w:r>
      </w:hyperlink>
      <w:hyperlink r:id="rId11">
        <w:r>
          <w:rPr>
            <w:rFonts w:ascii="Segoe UI"/>
            <w:b/>
            <w:sz w:val="14"/>
          </w:rPr>
          <w:t> www.BondConsultingServices.com</w:t>
        </w:r>
      </w:hyperlink>
    </w:p>
    <w:p>
      <w:pPr>
        <w:spacing w:after="0" w:line="180" w:lineRule="auto"/>
        <w:jc w:val="left"/>
        <w:rPr>
          <w:rFonts w:ascii="Segoe UI"/>
          <w:sz w:val="14"/>
        </w:rPr>
        <w:sectPr>
          <w:type w:val="continuous"/>
          <w:pgSz w:w="10800" w:h="15600"/>
          <w:pgMar w:top="1480" w:bottom="280" w:left="0" w:right="0"/>
        </w:sectPr>
      </w:pPr>
    </w:p>
    <w:p>
      <w:pPr>
        <w:pStyle w:val="BodyText"/>
        <w:rPr>
          <w:rFonts w:ascii="Segoe UI"/>
          <w:b/>
        </w:rPr>
      </w:pPr>
    </w:p>
    <w:p>
      <w:pPr>
        <w:pStyle w:val="BodyText"/>
        <w:rPr>
          <w:rFonts w:ascii="Segoe UI"/>
          <w:b/>
        </w:rPr>
      </w:pPr>
    </w:p>
    <w:p>
      <w:pPr>
        <w:pStyle w:val="BodyText"/>
        <w:spacing w:before="2"/>
        <w:rPr>
          <w:rFonts w:ascii="Segoe UI"/>
          <w:b/>
          <w:sz w:val="16"/>
        </w:rPr>
      </w:pPr>
    </w:p>
    <w:p>
      <w:pPr>
        <w:pStyle w:val="Heading2"/>
        <w:rPr>
          <w:b w:val="0"/>
        </w:rPr>
      </w:pPr>
      <w:r>
        <w:rPr>
          <w:b w:val="0"/>
        </w:rPr>
        <w:t>Microsoft Dynamics 365 Business Central</w:t>
      </w:r>
    </w:p>
    <w:p>
      <w:pPr>
        <w:spacing w:line="216" w:lineRule="auto" w:before="217"/>
        <w:ind w:left="568" w:right="568" w:firstLine="0"/>
        <w:jc w:val="center"/>
        <w:rPr>
          <w:b w:val="0"/>
          <w:sz w:val="21"/>
        </w:rPr>
      </w:pPr>
      <w:r>
        <w:rPr>
          <w:b w:val="0"/>
          <w:sz w:val="21"/>
        </w:rPr>
        <w:t>An all-in-one business management solution that helps your business connect financials, sales, service, and operations to streamline business processes, improve customer interactions and make better decisions.</w:t>
      </w:r>
    </w:p>
    <w:p>
      <w:pPr>
        <w:pStyle w:val="BodyText"/>
        <w:rPr>
          <w:b w:val="0"/>
        </w:rPr>
      </w:pPr>
    </w:p>
    <w:p>
      <w:pPr>
        <w:pStyle w:val="BodyText"/>
        <w:spacing w:before="10"/>
        <w:rPr>
          <w:b w:val="0"/>
          <w:sz w:val="18"/>
        </w:rPr>
      </w:pPr>
    </w:p>
    <w:p>
      <w:pPr>
        <w:spacing w:before="100"/>
        <w:ind w:left="568" w:right="580" w:firstLine="0"/>
        <w:jc w:val="center"/>
        <w:rPr>
          <w:b w:val="0"/>
          <w:sz w:val="36"/>
        </w:rPr>
      </w:pPr>
      <w:r>
        <w:rPr>
          <w:b w:val="0"/>
          <w:color w:val="FFFFFF"/>
          <w:sz w:val="36"/>
        </w:rPr>
        <w:t>Run your entire business with a single solution</w:t>
      </w:r>
    </w:p>
    <w:p>
      <w:pPr>
        <w:pStyle w:val="BodyText"/>
        <w:spacing w:before="4"/>
        <w:rPr>
          <w:b w:val="0"/>
          <w:sz w:val="37"/>
        </w:rPr>
      </w:pPr>
    </w:p>
    <w:p>
      <w:pPr>
        <w:spacing w:line="216" w:lineRule="auto" w:before="0"/>
        <w:ind w:left="6090" w:right="755" w:firstLine="0"/>
        <w:jc w:val="left"/>
        <w:rPr>
          <w:rFonts w:ascii="Segoe UI"/>
          <w:sz w:val="21"/>
        </w:rPr>
      </w:pPr>
      <w:r>
        <w:rPr>
          <w:rFonts w:ascii="Segoe UI"/>
          <w:color w:val="FFFFFF"/>
          <w:sz w:val="21"/>
        </w:rPr>
        <w:t>Microsoft Dynamics 365 Business Central fits the needs of midsize businesses with core business needs. It helps organizations connect their financials, sales, purchase, inventory, projects, service, and operations.</w:t>
      </w:r>
    </w:p>
    <w:p>
      <w:pPr>
        <w:pStyle w:val="BodyText"/>
        <w:rPr>
          <w:rFonts w:ascii="Segoe UI"/>
        </w:rPr>
      </w:pPr>
    </w:p>
    <w:p>
      <w:pPr>
        <w:pStyle w:val="BodyText"/>
        <w:rPr>
          <w:rFonts w:ascii="Segoe UI"/>
        </w:rPr>
      </w:pPr>
    </w:p>
    <w:p>
      <w:pPr>
        <w:pStyle w:val="BodyText"/>
        <w:rPr>
          <w:rFonts w:ascii="Segoe UI"/>
        </w:rPr>
      </w:pPr>
    </w:p>
    <w:p>
      <w:pPr>
        <w:pStyle w:val="BodyText"/>
        <w:spacing w:before="8"/>
        <w:rPr>
          <w:rFonts w:ascii="Segoe UI"/>
          <w:sz w:val="28"/>
        </w:rPr>
      </w:pPr>
    </w:p>
    <w:p>
      <w:pPr>
        <w:pStyle w:val="Heading1"/>
        <w:tabs>
          <w:tab w:pos="4595" w:val="left" w:leader="none"/>
        </w:tabs>
        <w:spacing w:before="100"/>
        <w:rPr>
          <w:b w:val="0"/>
        </w:rPr>
      </w:pPr>
      <w:r>
        <w:rPr/>
        <w:pict>
          <v:rect style="position:absolute;margin-left:199.440002pt;margin-top:16.14563pt;width:.72pt;height:432pt;mso-position-horizontal-relative:page;mso-position-vertical-relative:paragraph;z-index:-16275456" filled="true" fillcolor="#3a3838" stroked="false">
            <v:fill type="solid"/>
            <w10:wrap type="none"/>
          </v:rect>
        </w:pict>
      </w:r>
      <w:r>
        <w:rPr>
          <w:b w:val="0"/>
          <w:u w:val="single"/>
        </w:rPr>
        <w:t>Quick</w:t>
      </w:r>
      <w:r>
        <w:rPr>
          <w:b w:val="0"/>
          <w:spacing w:val="-3"/>
          <w:u w:val="single"/>
        </w:rPr>
        <w:t> </w:t>
      </w:r>
      <w:r>
        <w:rPr>
          <w:b w:val="0"/>
          <w:u w:val="single"/>
        </w:rPr>
        <w:t>View</w:t>
      </w:r>
      <w:r>
        <w:rPr>
          <w:b w:val="0"/>
        </w:rPr>
        <w:tab/>
        <w:t>Increase financial</w:t>
      </w:r>
      <w:r>
        <w:rPr>
          <w:b w:val="0"/>
          <w:spacing w:val="-14"/>
        </w:rPr>
        <w:t> </w:t>
      </w:r>
      <w:r>
        <w:rPr>
          <w:b w:val="0"/>
        </w:rPr>
        <w:t>visibility</w:t>
      </w:r>
    </w:p>
    <w:p>
      <w:pPr>
        <w:pStyle w:val="BodyText"/>
        <w:rPr>
          <w:b w:val="0"/>
        </w:rPr>
      </w:pPr>
    </w:p>
    <w:p>
      <w:pPr>
        <w:pStyle w:val="Heading3"/>
        <w:spacing w:before="244"/>
        <w:rPr>
          <w:b w:val="0"/>
          <w:u w:val="none"/>
        </w:rPr>
      </w:pPr>
      <w:r>
        <w:rPr/>
        <w:pict>
          <v:group style="position:absolute;margin-left:224.037613pt;margin-top:9.885901pt;width:286.850pt;height:204.75pt;mso-position-horizontal-relative:page;mso-position-vertical-relative:paragraph;z-index:15730176" coordorigin="4481,198" coordsize="5737,4095">
            <v:shape style="position:absolute;left:4480;top:197;width:5737;height:4095" type="#_x0000_t75" stroked="false">
              <v:imagedata r:id="rId12" o:title=""/>
            </v:shape>
            <v:shape style="position:absolute;left:4610;top:310;width:5484;height:3876" type="#_x0000_t75" stroked="false">
              <v:imagedata r:id="rId13" o:title=""/>
            </v:shape>
            <w10:wrap type="none"/>
          </v:group>
        </w:pict>
      </w:r>
      <w:r>
        <w:rPr>
          <w:b w:val="0"/>
          <w:u w:val="none"/>
        </w:rPr>
        <w:t>Increase financial visibility</w:t>
      </w:r>
    </w:p>
    <w:p>
      <w:pPr>
        <w:pStyle w:val="BodyText"/>
        <w:spacing w:line="216" w:lineRule="auto" w:before="85"/>
        <w:ind w:left="566" w:right="7614"/>
        <w:rPr>
          <w:b w:val="0"/>
        </w:rPr>
      </w:pPr>
      <w:r>
        <w:rPr>
          <w:b w:val="0"/>
        </w:rPr>
        <w:t>Accelerate financial close, chart financial performance in real time, and improve forecast accuracy while maintaining compliance and security.</w:t>
      </w:r>
    </w:p>
    <w:p>
      <w:pPr>
        <w:pStyle w:val="BodyText"/>
        <w:rPr>
          <w:b w:val="0"/>
          <w:sz w:val="25"/>
        </w:rPr>
      </w:pPr>
    </w:p>
    <w:p>
      <w:pPr>
        <w:pStyle w:val="Heading3"/>
        <w:spacing w:before="0"/>
        <w:rPr>
          <w:b w:val="0"/>
          <w:u w:val="none"/>
        </w:rPr>
      </w:pPr>
      <w:r>
        <w:rPr>
          <w:b w:val="0"/>
          <w:u w:val="none"/>
        </w:rPr>
        <w:t>Optimize your supply chain</w:t>
      </w:r>
    </w:p>
    <w:p>
      <w:pPr>
        <w:pStyle w:val="BodyText"/>
        <w:spacing w:line="216" w:lineRule="auto" w:before="83"/>
        <w:ind w:left="566" w:right="7721"/>
        <w:rPr>
          <w:b w:val="0"/>
        </w:rPr>
      </w:pPr>
      <w:r>
        <w:rPr>
          <w:b w:val="0"/>
        </w:rPr>
        <w:t>Maximize profitability with an end-to-end view across operations, purchasing, manufacturing, inventory, and warehouse management.</w:t>
      </w:r>
    </w:p>
    <w:p>
      <w:pPr>
        <w:pStyle w:val="BodyText"/>
        <w:spacing w:before="8"/>
        <w:rPr>
          <w:b w:val="0"/>
          <w:sz w:val="17"/>
        </w:rPr>
      </w:pPr>
    </w:p>
    <w:p>
      <w:pPr>
        <w:spacing w:after="0"/>
        <w:rPr>
          <w:sz w:val="17"/>
        </w:rPr>
        <w:sectPr>
          <w:pgSz w:w="10800" w:h="15600"/>
          <w:pgMar w:top="0" w:bottom="280" w:left="0" w:right="0"/>
        </w:sectPr>
      </w:pPr>
    </w:p>
    <w:p>
      <w:pPr>
        <w:pStyle w:val="Heading3"/>
        <w:spacing w:line="216" w:lineRule="auto" w:before="126"/>
        <w:ind w:right="387"/>
        <w:rPr>
          <w:b w:val="0"/>
          <w:u w:val="none"/>
        </w:rPr>
      </w:pPr>
      <w:r>
        <w:rPr/>
        <w:pict>
          <v:group style="position:absolute;margin-left:0pt;margin-top:0pt;width:540pt;height:296.9pt;mso-position-horizontal-relative:page;mso-position-vertical-relative:page;z-index:-16275968" coordorigin="0,0" coordsize="10800,5938">
            <v:rect style="position:absolute;left:0;top:0;width:10800;height:516" filled="true" fillcolor="#0075ab" stroked="false">
              <v:fill type="solid"/>
            </v:rect>
            <v:rect style="position:absolute;left:0;top:516;width:10800;height:144" filled="true" fillcolor="#12c2cf" stroked="false">
              <v:fill type="solid"/>
            </v:rect>
            <v:rect style="position:absolute;left:0;top:660;width:10800;height:1556" filled="true" fillcolor="#ebebeb" stroked="false">
              <v:fill type="solid"/>
            </v:rect>
            <v:rect style="position:absolute;left:0;top:2212;width:10800;height:3327" filled="true" fillcolor="#3a3838" stroked="false">
              <v:fill type="solid"/>
            </v:rect>
            <v:shape style="position:absolute;left:756;top:3518;width:4467;height:2420" type="#_x0000_t75" stroked="false">
              <v:imagedata r:id="rId14" o:title=""/>
            </v:shape>
            <w10:wrap type="none"/>
          </v:group>
        </w:pict>
      </w:r>
      <w:r>
        <w:rPr>
          <w:b w:val="0"/>
          <w:u w:val="none"/>
        </w:rPr>
        <w:t>Boost sales and improve service</w:t>
      </w:r>
    </w:p>
    <w:p>
      <w:pPr>
        <w:pStyle w:val="BodyText"/>
        <w:spacing w:line="216" w:lineRule="auto" w:before="92"/>
        <w:ind w:left="566" w:right="26"/>
        <w:rPr>
          <w:b w:val="0"/>
        </w:rPr>
      </w:pPr>
      <w:r>
        <w:rPr>
          <w:b w:val="0"/>
        </w:rPr>
        <w:t>Manage the sales process from start to finish within Outlook and deliver exceptional service with a connected view of customers and service operations.</w:t>
      </w:r>
    </w:p>
    <w:p>
      <w:pPr>
        <w:pStyle w:val="BodyText"/>
        <w:rPr>
          <w:b w:val="0"/>
          <w:sz w:val="27"/>
        </w:rPr>
      </w:pPr>
    </w:p>
    <w:p>
      <w:pPr>
        <w:pStyle w:val="Heading3"/>
        <w:spacing w:line="216" w:lineRule="auto" w:before="0"/>
        <w:ind w:right="450"/>
        <w:rPr>
          <w:b w:val="0"/>
          <w:u w:val="none"/>
        </w:rPr>
      </w:pPr>
      <w:r>
        <w:rPr>
          <w:b w:val="0"/>
          <w:u w:val="none"/>
        </w:rPr>
        <w:t>Deliver projects on time and under budget</w:t>
      </w:r>
    </w:p>
    <w:p>
      <w:pPr>
        <w:pStyle w:val="BodyText"/>
        <w:spacing w:line="216" w:lineRule="auto" w:before="93"/>
        <w:ind w:left="566" w:right="85"/>
        <w:rPr>
          <w:b w:val="0"/>
        </w:rPr>
      </w:pPr>
      <w:r>
        <w:rPr>
          <w:b w:val="0"/>
        </w:rPr>
        <w:t>Plan and monitor your projects with real-time metrics on resources, profitability, tasks, and progress.</w:t>
      </w:r>
    </w:p>
    <w:p>
      <w:pPr>
        <w:pStyle w:val="BodyText"/>
        <w:rPr>
          <w:b w:val="0"/>
          <w:sz w:val="26"/>
        </w:rPr>
      </w:pPr>
      <w:r>
        <w:rPr/>
        <w:br w:type="column"/>
      </w:r>
      <w:r>
        <w:rPr>
          <w:b w:val="0"/>
          <w:sz w:val="26"/>
        </w:rPr>
      </w:r>
    </w:p>
    <w:p>
      <w:pPr>
        <w:pStyle w:val="BodyText"/>
        <w:spacing w:before="8"/>
        <w:rPr>
          <w:b w:val="0"/>
          <w:sz w:val="23"/>
        </w:rPr>
      </w:pPr>
    </w:p>
    <w:p>
      <w:pPr>
        <w:pStyle w:val="BodyText"/>
        <w:spacing w:line="216" w:lineRule="auto"/>
        <w:ind w:left="566" w:right="751"/>
        <w:rPr>
          <w:b w:val="0"/>
        </w:rPr>
      </w:pPr>
      <w:r>
        <w:rPr>
          <w:b w:val="0"/>
        </w:rPr>
        <w:t>Make informed decisions with connected data across accounting, sales, purchasing, inventory, and customer transactions.</w:t>
      </w:r>
    </w:p>
    <w:p>
      <w:pPr>
        <w:pStyle w:val="BodyText"/>
        <w:spacing w:before="11"/>
        <w:rPr>
          <w:b w:val="0"/>
          <w:sz w:val="17"/>
        </w:rPr>
      </w:pPr>
    </w:p>
    <w:p>
      <w:pPr>
        <w:pStyle w:val="BodyText"/>
        <w:spacing w:line="216" w:lineRule="auto" w:before="1"/>
        <w:ind w:left="566" w:right="568"/>
        <w:rPr>
          <w:b w:val="0"/>
        </w:rPr>
      </w:pPr>
      <w:r>
        <w:rPr>
          <w:b w:val="0"/>
        </w:rPr>
        <w:t>Chart financial performance in real time with built-in Power BI dashboards. Identify patterns and trends and gain new insights with in-depth analysis and unlimited dimensions.</w:t>
      </w:r>
    </w:p>
    <w:p>
      <w:pPr>
        <w:pStyle w:val="BodyText"/>
        <w:spacing w:before="2"/>
        <w:rPr>
          <w:b w:val="0"/>
          <w:sz w:val="19"/>
        </w:rPr>
      </w:pPr>
    </w:p>
    <w:p>
      <w:pPr>
        <w:pStyle w:val="BodyText"/>
        <w:spacing w:line="216" w:lineRule="auto" w:before="1"/>
        <w:ind w:left="566" w:right="744"/>
        <w:rPr>
          <w:b w:val="0"/>
        </w:rPr>
      </w:pPr>
      <w:r>
        <w:rPr>
          <w:b w:val="0"/>
        </w:rPr>
        <w:t>Accelerate financial close and reporting and maintain compliance with quick, accurate, and streamlined accounts receivable and payable.</w:t>
      </w:r>
    </w:p>
    <w:p>
      <w:pPr>
        <w:pStyle w:val="BodyText"/>
        <w:spacing w:before="3"/>
        <w:rPr>
          <w:b w:val="0"/>
          <w:sz w:val="19"/>
        </w:rPr>
      </w:pPr>
    </w:p>
    <w:p>
      <w:pPr>
        <w:pStyle w:val="BodyText"/>
        <w:spacing w:line="216" w:lineRule="auto"/>
        <w:ind w:left="566" w:right="632"/>
        <w:rPr>
          <w:b w:val="0"/>
        </w:rPr>
      </w:pPr>
      <w:r>
        <w:rPr>
          <w:b w:val="0"/>
        </w:rPr>
        <w:t>Improve forecast accuracy with comprehensive data modeling and analysis. Customize and share reports with seamless Excel integration.</w:t>
      </w:r>
    </w:p>
    <w:p>
      <w:pPr>
        <w:spacing w:after="0" w:line="216" w:lineRule="auto"/>
        <w:sectPr>
          <w:type w:val="continuous"/>
          <w:pgSz w:w="10800" w:h="15600"/>
          <w:pgMar w:top="1480" w:bottom="280" w:left="0" w:right="0"/>
          <w:cols w:num="2" w:equalWidth="0">
            <w:col w:w="3416" w:space="614"/>
            <w:col w:w="6770"/>
          </w:cols>
        </w:sectPr>
      </w:pPr>
    </w:p>
    <w:p>
      <w:pPr>
        <w:pStyle w:val="BodyText"/>
        <w:spacing w:before="9"/>
        <w:rPr>
          <w:b w:val="0"/>
          <w:sz w:val="12"/>
        </w:rPr>
      </w:pPr>
    </w:p>
    <w:p>
      <w:pPr>
        <w:pStyle w:val="Heading1"/>
        <w:spacing w:before="100"/>
        <w:rPr>
          <w:b w:val="0"/>
        </w:rPr>
      </w:pPr>
      <w:r>
        <w:rPr>
          <w:b w:val="0"/>
        </w:rPr>
        <w:t>Optimize your supply chain</w:t>
      </w:r>
    </w:p>
    <w:p>
      <w:pPr>
        <w:pStyle w:val="BodyText"/>
        <w:spacing w:before="8"/>
        <w:rPr>
          <w:b w:val="0"/>
          <w:sz w:val="33"/>
        </w:rPr>
      </w:pPr>
    </w:p>
    <w:p>
      <w:pPr>
        <w:pStyle w:val="BodyText"/>
        <w:spacing w:line="216" w:lineRule="auto"/>
        <w:ind w:left="566" w:right="5653"/>
        <w:rPr>
          <w:b w:val="0"/>
        </w:rPr>
      </w:pPr>
      <w:r>
        <w:rPr/>
        <w:pict>
          <v:group style="position:absolute;margin-left:278.878693pt;margin-top:-9.561910pt;width:261.1500pt;height:223.35pt;mso-position-horizontal-relative:page;mso-position-vertical-relative:paragraph;z-index:15731712" coordorigin="5578,-191" coordsize="5223,4467">
            <v:shape style="position:absolute;left:5577;top:-192;width:5223;height:4467" type="#_x0000_t75" stroked="false">
              <v:imagedata r:id="rId16" o:title=""/>
            </v:shape>
            <v:shape style="position:absolute;left:5702;top:-74;width:5098;height:4224" type="#_x0000_t75" stroked="false">
              <v:imagedata r:id="rId17" o:title=""/>
            </v:shape>
            <w10:wrap type="none"/>
          </v:group>
        </w:pict>
      </w:r>
      <w:r>
        <w:rPr>
          <w:b w:val="0"/>
        </w:rPr>
        <w:t>Predict the optimal time to replenish stock with built-in intelligence. Use sales forecasts and expected stock- outs to automatically create purchase orders.</w:t>
      </w:r>
    </w:p>
    <w:p>
      <w:pPr>
        <w:pStyle w:val="BodyText"/>
        <w:spacing w:before="3"/>
        <w:rPr>
          <w:b w:val="0"/>
        </w:rPr>
      </w:pPr>
    </w:p>
    <w:p>
      <w:pPr>
        <w:pStyle w:val="BodyText"/>
        <w:spacing w:line="216" w:lineRule="auto" w:before="1"/>
        <w:ind w:left="566" w:right="5675"/>
        <w:rPr>
          <w:b w:val="0"/>
        </w:rPr>
      </w:pPr>
      <w:r>
        <w:rPr>
          <w:b w:val="0"/>
        </w:rPr>
        <w:t>Get a holistic view of inventory for timely order fulfilment. Track every item transaction and movement by setting up bins based on warehouse layout and storage unit dimensions.</w:t>
      </w:r>
    </w:p>
    <w:p>
      <w:pPr>
        <w:pStyle w:val="BodyText"/>
        <w:spacing w:before="5"/>
        <w:rPr>
          <w:b w:val="0"/>
          <w:sz w:val="21"/>
        </w:rPr>
      </w:pPr>
    </w:p>
    <w:p>
      <w:pPr>
        <w:pStyle w:val="BodyText"/>
        <w:spacing w:line="216" w:lineRule="auto"/>
        <w:ind w:left="566" w:right="5562"/>
        <w:rPr>
          <w:b w:val="0"/>
        </w:rPr>
      </w:pPr>
      <w:r>
        <w:rPr>
          <w:b w:val="0"/>
        </w:rPr>
        <w:t>Maintain the right amount of inventory by automatically calculating stock levels, lead times, and reorder points. When requested items are out of stock, automatically suggest replacements.</w:t>
      </w:r>
    </w:p>
    <w:p>
      <w:pPr>
        <w:pStyle w:val="BodyText"/>
        <w:spacing w:before="7"/>
        <w:rPr>
          <w:b w:val="0"/>
          <w:sz w:val="21"/>
        </w:rPr>
      </w:pPr>
    </w:p>
    <w:p>
      <w:pPr>
        <w:pStyle w:val="BodyText"/>
        <w:spacing w:line="216" w:lineRule="auto"/>
        <w:ind w:left="566" w:right="5653"/>
        <w:rPr>
          <w:b w:val="0"/>
        </w:rPr>
      </w:pPr>
      <w:r>
        <w:rPr>
          <w:b w:val="0"/>
        </w:rPr>
        <w:t>Calculate and optimize manufacturing capacity and resources to improve production schedules and meet customer demands.</w:t>
      </w:r>
    </w:p>
    <w:p>
      <w:pPr>
        <w:pStyle w:val="BodyText"/>
        <w:rPr>
          <w:b w:val="0"/>
        </w:rPr>
      </w:pPr>
    </w:p>
    <w:p>
      <w:pPr>
        <w:pStyle w:val="BodyText"/>
        <w:spacing w:before="10"/>
        <w:rPr>
          <w:b w:val="0"/>
          <w:sz w:val="15"/>
        </w:rPr>
      </w:pPr>
      <w:r>
        <w:rPr/>
        <w:pict>
          <v:rect style="position:absolute;margin-left:18pt;margin-top:12.458945pt;width:504pt;height:.72pt;mso-position-horizontal-relative:page;mso-position-vertical-relative:paragraph;z-index:-15726592;mso-wrap-distance-left:0;mso-wrap-distance-right:0" filled="true" fillcolor="#7e7e7e" stroked="false">
            <v:fill type="solid"/>
            <w10:wrap type="topAndBottom"/>
          </v:rect>
        </w:pict>
      </w:r>
    </w:p>
    <w:p>
      <w:pPr>
        <w:pStyle w:val="Heading1"/>
        <w:spacing w:before="169"/>
        <w:rPr>
          <w:b w:val="0"/>
        </w:rPr>
      </w:pPr>
      <w:r>
        <w:rPr>
          <w:b w:val="0"/>
        </w:rPr>
        <w:t>Boost sales and improve service</w:t>
      </w:r>
    </w:p>
    <w:p>
      <w:pPr>
        <w:pStyle w:val="BodyText"/>
        <w:spacing w:before="12"/>
        <w:rPr>
          <w:b w:val="0"/>
          <w:sz w:val="25"/>
        </w:rPr>
      </w:pPr>
    </w:p>
    <w:p>
      <w:pPr>
        <w:pStyle w:val="BodyText"/>
        <w:spacing w:line="216" w:lineRule="auto" w:before="121"/>
        <w:ind w:left="5807" w:right="411"/>
        <w:rPr>
          <w:b w:val="0"/>
        </w:rPr>
      </w:pPr>
      <w:r>
        <w:rPr/>
        <w:pict>
          <v:group style="position:absolute;margin-left:9.358115pt;margin-top:-2.339966pt;width:271.850pt;height:179.8pt;mso-position-horizontal-relative:page;mso-position-vertical-relative:paragraph;z-index:15732224" coordorigin="187,-47" coordsize="5437,3596">
            <v:shape style="position:absolute;left:187;top:-47;width:5437;height:3596" type="#_x0000_t75" stroked="false">
              <v:imagedata r:id="rId18" o:title=""/>
            </v:shape>
            <v:shape style="position:absolute;left:314;top:61;width:5189;height:3387" type="#_x0000_t75" stroked="false">
              <v:imagedata r:id="rId19" o:title=""/>
            </v:shape>
            <w10:wrap type="none"/>
          </v:group>
        </w:pict>
      </w:r>
      <w:r>
        <w:rPr>
          <w:b w:val="0"/>
        </w:rPr>
        <w:t>Prioritize sales leads based on revenue potential. Keep track of all customer interactions and get guidance on best upsell, cross-sell, and renewal opportunities throughout your sales cycle.</w:t>
      </w:r>
    </w:p>
    <w:p>
      <w:pPr>
        <w:pStyle w:val="BodyText"/>
        <w:spacing w:before="12"/>
        <w:rPr>
          <w:b w:val="0"/>
          <w:sz w:val="18"/>
        </w:rPr>
      </w:pPr>
    </w:p>
    <w:p>
      <w:pPr>
        <w:pStyle w:val="BodyText"/>
        <w:spacing w:line="216" w:lineRule="auto"/>
        <w:ind w:left="5807" w:right="612"/>
        <w:rPr>
          <w:b w:val="0"/>
        </w:rPr>
      </w:pPr>
      <w:r>
        <w:rPr>
          <w:b w:val="0"/>
        </w:rPr>
        <w:t>Accelerate the sales process from quote to cash. Act quickly on sales-related inquiries, manage service requests, and process payments—all from within Outlook.</w:t>
      </w:r>
    </w:p>
    <w:p>
      <w:pPr>
        <w:pStyle w:val="BodyText"/>
        <w:spacing w:before="4"/>
        <w:rPr>
          <w:b w:val="0"/>
          <w:sz w:val="19"/>
        </w:rPr>
      </w:pPr>
    </w:p>
    <w:p>
      <w:pPr>
        <w:pStyle w:val="BodyText"/>
        <w:spacing w:line="216" w:lineRule="auto"/>
        <w:ind w:left="5807" w:right="546"/>
        <w:rPr>
          <w:b w:val="0"/>
        </w:rPr>
      </w:pPr>
      <w:r>
        <w:rPr>
          <w:b w:val="0"/>
        </w:rPr>
        <w:t>Gain a comprehensive overview of your service tasks, workloads, and employee skills to effectively assign resources and facilitate case resolution.</w:t>
      </w:r>
    </w:p>
    <w:p>
      <w:pPr>
        <w:pStyle w:val="BodyText"/>
        <w:rPr>
          <w:b w:val="0"/>
        </w:rPr>
      </w:pPr>
    </w:p>
    <w:p>
      <w:pPr>
        <w:pStyle w:val="BodyText"/>
        <w:spacing w:before="10"/>
        <w:rPr>
          <w:b w:val="0"/>
          <w:sz w:val="27"/>
        </w:rPr>
      </w:pPr>
      <w:r>
        <w:rPr/>
        <w:pict>
          <v:rect style="position:absolute;margin-left:18pt;margin-top:20.437843pt;width:504pt;height:.71997pt;mso-position-horizontal-relative:page;mso-position-vertical-relative:paragraph;z-index:-15726080;mso-wrap-distance-left:0;mso-wrap-distance-right:0" filled="true" fillcolor="#7e7e7e" stroked="false">
            <v:fill type="solid"/>
            <w10:wrap type="topAndBottom"/>
          </v:rect>
        </w:pict>
      </w:r>
    </w:p>
    <w:p>
      <w:pPr>
        <w:pStyle w:val="BodyText"/>
        <w:spacing w:before="1"/>
        <w:rPr>
          <w:b w:val="0"/>
          <w:sz w:val="10"/>
        </w:rPr>
      </w:pPr>
    </w:p>
    <w:p>
      <w:pPr>
        <w:pStyle w:val="Heading1"/>
        <w:spacing w:line="216" w:lineRule="auto" w:before="134"/>
        <w:ind w:right="5568"/>
        <w:rPr>
          <w:b w:val="0"/>
        </w:rPr>
      </w:pPr>
      <w:r>
        <w:rPr/>
        <w:pict>
          <v:group style="position:absolute;margin-left:278.878693pt;margin-top:2.538187pt;width:261.1500pt;height:195.05pt;mso-position-horizontal-relative:page;mso-position-vertical-relative:paragraph;z-index:15732736" coordorigin="5578,51" coordsize="5223,3901">
            <v:shape style="position:absolute;left:5577;top:50;width:5223;height:3901" type="#_x0000_t75" stroked="false">
              <v:imagedata r:id="rId20" o:title=""/>
            </v:shape>
            <v:shape style="position:absolute;left:5702;top:161;width:5098;height:3687" type="#_x0000_t75" stroked="false">
              <v:imagedata r:id="rId21" o:title=""/>
            </v:shape>
            <w10:wrap type="none"/>
          </v:group>
        </w:pict>
      </w:r>
      <w:r>
        <w:rPr>
          <w:b w:val="0"/>
        </w:rPr>
        <w:t>Deliver projects on time and under budget</w:t>
      </w:r>
    </w:p>
    <w:p>
      <w:pPr>
        <w:pStyle w:val="BodyText"/>
        <w:spacing w:line="216" w:lineRule="auto" w:before="272"/>
        <w:ind w:left="566" w:right="5945"/>
        <w:rPr>
          <w:b w:val="0"/>
        </w:rPr>
      </w:pPr>
      <w:r>
        <w:rPr>
          <w:b w:val="0"/>
        </w:rPr>
        <w:t>Create, manage, and track customer projects using timesheets along with advanced job costing and reporting capabilities. Develop, modify, and control budgets to ensure project profitability.</w:t>
      </w:r>
    </w:p>
    <w:p>
      <w:pPr>
        <w:pStyle w:val="BodyText"/>
        <w:spacing w:line="216" w:lineRule="auto" w:before="219"/>
        <w:ind w:left="566" w:right="5623"/>
        <w:jc w:val="both"/>
        <w:rPr>
          <w:b w:val="0"/>
        </w:rPr>
      </w:pPr>
      <w:r>
        <w:rPr>
          <w:b w:val="0"/>
        </w:rPr>
        <w:t>Manage resource levels by planning capacity and sales. Track invoicing for customers against planned costs on orders and quotes.</w:t>
      </w:r>
    </w:p>
    <w:p>
      <w:pPr>
        <w:pStyle w:val="BodyText"/>
        <w:spacing w:line="216" w:lineRule="auto" w:before="216"/>
        <w:ind w:left="566" w:right="5621"/>
        <w:jc w:val="both"/>
        <w:rPr>
          <w:b w:val="0"/>
        </w:rPr>
      </w:pPr>
      <w:r>
        <w:rPr>
          <w:b w:val="0"/>
        </w:rPr>
        <w:t>Make effective decisions with real-time insights on project status, profitability, and resource-usage metrics.</w:t>
      </w:r>
    </w:p>
    <w:p>
      <w:pPr>
        <w:spacing w:after="0" w:line="216" w:lineRule="auto"/>
        <w:jc w:val="both"/>
        <w:sectPr>
          <w:headerReference w:type="default" r:id="rId15"/>
          <w:pgSz w:w="10800" w:h="15600"/>
          <w:pgMar w:header="0" w:footer="0" w:top="460" w:bottom="0" w:left="0" w:right="0"/>
        </w:sectPr>
      </w:pPr>
    </w:p>
    <w:p>
      <w:pPr>
        <w:pStyle w:val="BodyText"/>
        <w:spacing w:before="2"/>
        <w:rPr>
          <w:b w:val="0"/>
        </w:rPr>
      </w:pPr>
    </w:p>
    <w:p>
      <w:pPr>
        <w:pStyle w:val="Heading1"/>
        <w:spacing w:line="216" w:lineRule="auto" w:before="134"/>
        <w:ind w:right="6303"/>
        <w:rPr>
          <w:b w:val="0"/>
        </w:rPr>
      </w:pPr>
      <w:r>
        <w:rPr/>
        <w:pict>
          <v:group style="position:absolute;margin-left:231.478333pt;margin-top:4.715728pt;width:308.55pt;height:203.3pt;mso-position-horizontal-relative:page;mso-position-vertical-relative:paragraph;z-index:15734272" coordorigin="4630,94" coordsize="6171,4066">
            <v:shape style="position:absolute;left:4629;top:94;width:6171;height:4066" type="#_x0000_t75" stroked="false">
              <v:imagedata r:id="rId22" o:title=""/>
            </v:shape>
            <v:shape style="position:absolute;left:4764;top:207;width:6036;height:3833" type="#_x0000_t75" stroked="false">
              <v:imagedata r:id="rId23" o:title=""/>
            </v:shape>
            <w10:wrap type="none"/>
          </v:group>
        </w:pict>
      </w:r>
      <w:r>
        <w:rPr>
          <w:b w:val="0"/>
        </w:rPr>
        <w:t>Protect your data and support GDPR compliance</w:t>
      </w:r>
    </w:p>
    <w:p>
      <w:pPr>
        <w:pStyle w:val="BodyText"/>
        <w:spacing w:line="216" w:lineRule="auto" w:before="343"/>
        <w:ind w:left="566" w:right="6855"/>
        <w:rPr>
          <w:b w:val="0"/>
        </w:rPr>
      </w:pPr>
      <w:r>
        <w:rPr>
          <w:b w:val="0"/>
        </w:rPr>
        <w:t>Respect your customers’ right to privacy and set up your business to comply with the GDPR. Grant and restrict access to personal data on multiple levels and implement audit trails to ensure security and accountability.</w:t>
      </w:r>
    </w:p>
    <w:p>
      <w:pPr>
        <w:pStyle w:val="BodyText"/>
        <w:spacing w:before="13"/>
        <w:rPr>
          <w:b w:val="0"/>
          <w:sz w:val="23"/>
        </w:rPr>
      </w:pPr>
    </w:p>
    <w:p>
      <w:pPr>
        <w:pStyle w:val="BodyText"/>
        <w:spacing w:line="216" w:lineRule="auto"/>
        <w:ind w:left="566" w:right="6780"/>
        <w:rPr>
          <w:b w:val="0"/>
        </w:rPr>
      </w:pPr>
      <w:r>
        <w:rPr>
          <w:b w:val="0"/>
        </w:rPr>
        <w:t>Handle, store, and transmit data securely across your systems while protecting it from unauthorized access with automatic Microsoft datacenter encryption.</w:t>
      </w:r>
    </w:p>
    <w:p>
      <w:pPr>
        <w:pStyle w:val="BodyText"/>
        <w:rPr>
          <w:b w:val="0"/>
        </w:rPr>
      </w:pPr>
    </w:p>
    <w:p>
      <w:pPr>
        <w:pStyle w:val="BodyText"/>
        <w:rPr>
          <w:b w:val="0"/>
          <w:sz w:val="25"/>
        </w:rPr>
      </w:pPr>
      <w:r>
        <w:rPr/>
        <w:pict>
          <v:rect style="position:absolute;margin-left:18pt;margin-top:18.609259pt;width:504pt;height:.72pt;mso-position-horizontal-relative:page;mso-position-vertical-relative:paragraph;z-index:-15724032;mso-wrap-distance-left:0;mso-wrap-distance-right:0" filled="true" fillcolor="#7e7e7e" stroked="false">
            <v:fill type="solid"/>
            <w10:wrap type="topAndBottom"/>
          </v:rect>
        </w:pict>
      </w:r>
    </w:p>
    <w:p>
      <w:pPr>
        <w:pStyle w:val="BodyText"/>
        <w:spacing w:before="8"/>
        <w:rPr>
          <w:b w:val="0"/>
          <w:sz w:val="18"/>
        </w:rPr>
      </w:pPr>
    </w:p>
    <w:p>
      <w:pPr>
        <w:spacing w:after="0"/>
        <w:rPr>
          <w:sz w:val="18"/>
        </w:rPr>
        <w:sectPr>
          <w:pgSz w:w="10800" w:h="15600"/>
          <w:pgMar w:header="0" w:footer="0" w:top="460" w:bottom="0" w:left="0" w:right="0"/>
        </w:sectPr>
      </w:pPr>
    </w:p>
    <w:p>
      <w:pPr>
        <w:pStyle w:val="Heading1"/>
        <w:spacing w:before="99"/>
        <w:jc w:val="both"/>
        <w:rPr>
          <w:b w:val="0"/>
        </w:rPr>
      </w:pPr>
      <w:r>
        <w:rPr>
          <w:b w:val="0"/>
        </w:rPr>
        <w:t>Run your business anywhere</w:t>
      </w:r>
    </w:p>
    <w:p>
      <w:pPr>
        <w:pStyle w:val="BodyText"/>
        <w:spacing w:line="216" w:lineRule="auto" w:before="283"/>
        <w:ind w:left="566"/>
        <w:jc w:val="both"/>
        <w:rPr>
          <w:b w:val="0"/>
        </w:rPr>
      </w:pPr>
      <w:r>
        <w:rPr>
          <w:b w:val="0"/>
        </w:rPr>
        <w:t>Take your business on the go with a consistent, intuitive experience across Windows, Android, or iOS devices for mobile access to Business Central.</w:t>
      </w:r>
    </w:p>
    <w:p>
      <w:pPr>
        <w:pStyle w:val="BodyText"/>
        <w:rPr>
          <w:b w:val="0"/>
          <w:sz w:val="26"/>
        </w:rPr>
      </w:pPr>
      <w:r>
        <w:rPr/>
        <w:br w:type="column"/>
      </w:r>
      <w:r>
        <w:rPr>
          <w:b w:val="0"/>
          <w:sz w:val="26"/>
        </w:rPr>
      </w:r>
    </w:p>
    <w:p>
      <w:pPr>
        <w:pStyle w:val="BodyText"/>
        <w:spacing w:before="10"/>
        <w:rPr>
          <w:b w:val="0"/>
          <w:sz w:val="34"/>
        </w:rPr>
      </w:pPr>
    </w:p>
    <w:p>
      <w:pPr>
        <w:pStyle w:val="BodyText"/>
        <w:spacing w:line="216" w:lineRule="auto"/>
        <w:ind w:left="566" w:right="390"/>
        <w:rPr>
          <w:b w:val="0"/>
        </w:rPr>
      </w:pPr>
      <w:r>
        <w:rPr>
          <w:b w:val="0"/>
        </w:rPr>
        <w:t>Get the same user experience no matter how you deploy—in the cloud, on-premises, or a combination of both.</w:t>
      </w:r>
    </w:p>
    <w:p>
      <w:pPr>
        <w:spacing w:after="0" w:line="216" w:lineRule="auto"/>
        <w:sectPr>
          <w:type w:val="continuous"/>
          <w:pgSz w:w="10800" w:h="15600"/>
          <w:pgMar w:top="1480" w:bottom="280" w:left="0" w:right="0"/>
          <w:cols w:num="2" w:equalWidth="0">
            <w:col w:w="5231" w:space="42"/>
            <w:col w:w="5527"/>
          </w:cols>
        </w:sectPr>
      </w:pPr>
    </w:p>
    <w:p>
      <w:pPr>
        <w:pStyle w:val="BodyText"/>
        <w:spacing w:before="10"/>
        <w:rPr>
          <w:b w:val="0"/>
          <w:sz w:val="16"/>
        </w:rPr>
      </w:pPr>
      <w:r>
        <w:rPr/>
        <w:pict>
          <v:group style="position:absolute;margin-left:0pt;margin-top:613.439941pt;width:540pt;height:166.45pt;mso-position-horizontal-relative:page;mso-position-vertical-relative:page;z-index:15734784" coordorigin="0,12269" coordsize="10800,3329">
            <v:rect style="position:absolute;left:0;top:12268;width:10800;height:3329" filled="true" fillcolor="#3a3838" stroked="false">
              <v:fill type="solid"/>
            </v:rect>
            <v:shapetype id="_x0000_t202" o:spt="202" coordsize="21600,21600" path="m,l,21600r21600,l21600,xe">
              <v:stroke joinstyle="miter"/>
              <v:path gradientshapeok="t" o:connecttype="rect"/>
            </v:shapetype>
            <v:shape style="position:absolute;left:0;top:12268;width:10800;height:3329" type="#_x0000_t202" filled="false" stroked="false">
              <v:textbox inset="0,0,0,0">
                <w:txbxContent>
                  <w:p>
                    <w:pPr>
                      <w:spacing w:before="345"/>
                      <w:ind w:left="568" w:right="583" w:firstLine="0"/>
                      <w:jc w:val="center"/>
                      <w:rPr>
                        <w:b w:val="0"/>
                        <w:sz w:val="36"/>
                      </w:rPr>
                    </w:pPr>
                    <w:r>
                      <w:rPr>
                        <w:b w:val="0"/>
                        <w:color w:val="FFFFFF"/>
                        <w:sz w:val="36"/>
                      </w:rPr>
                      <w:t>Discover the Dynamics 365 Business Central Licensing Model</w:t>
                    </w:r>
                  </w:p>
                  <w:p>
                    <w:pPr>
                      <w:spacing w:line="216" w:lineRule="auto" w:before="329"/>
                      <w:ind w:left="568" w:right="748" w:firstLine="0"/>
                      <w:jc w:val="center"/>
                      <w:rPr>
                        <w:rFonts w:ascii="Segoe UI"/>
                        <w:sz w:val="20"/>
                      </w:rPr>
                    </w:pPr>
                    <w:r>
                      <w:rPr>
                        <w:rFonts w:ascii="Segoe UI"/>
                        <w:color w:val="FFFFFF"/>
                        <w:sz w:val="20"/>
                      </w:rPr>
                      <w:t>With flexibility at the core of your business, start with what you need now and easily adapt as your business needs change. Learn more about </w:t>
                    </w:r>
                    <w:hyperlink r:id="rId24">
                      <w:r>
                        <w:rPr>
                          <w:rFonts w:ascii="Segoe UI"/>
                          <w:b/>
                          <w:color w:val="FFFFFF"/>
                          <w:sz w:val="20"/>
                          <w:u w:val="single" w:color="FFFFFF"/>
                        </w:rPr>
                        <w:t>Dynamics 365 Business Central</w:t>
                      </w:r>
                    </w:hyperlink>
                    <w:r>
                      <w:rPr>
                        <w:rFonts w:ascii="Segoe UI"/>
                        <w:color w:val="FFFFFF"/>
                        <w:sz w:val="20"/>
                      </w:rPr>
                      <w:t>, take a test drive of the solutions and </w:t>
                    </w:r>
                    <w:hyperlink r:id="rId25">
                      <w:r>
                        <w:rPr>
                          <w:rFonts w:ascii="Segoe UI"/>
                          <w:b/>
                          <w:color w:val="FFFFFF"/>
                          <w:sz w:val="20"/>
                          <w:u w:val="single" w:color="FFFFFF"/>
                        </w:rPr>
                        <w:t>find the ERP partner </w:t>
                      </w:r>
                    </w:hyperlink>
                    <w:r>
                      <w:rPr>
                        <w:rFonts w:ascii="Segoe UI"/>
                        <w:color w:val="FFFFFF"/>
                        <w:sz w:val="20"/>
                      </w:rPr>
                      <w:t>that fits your business.</w:t>
                    </w:r>
                  </w:p>
                  <w:p>
                    <w:pPr>
                      <w:spacing w:line="240" w:lineRule="auto" w:before="3"/>
                      <w:rPr>
                        <w:rFonts w:ascii="Segoe UI"/>
                        <w:sz w:val="24"/>
                      </w:rPr>
                    </w:pPr>
                  </w:p>
                  <w:p>
                    <w:pPr>
                      <w:spacing w:before="0"/>
                      <w:ind w:left="0" w:right="0" w:firstLine="0"/>
                      <w:jc w:val="center"/>
                      <w:rPr>
                        <w:rFonts w:ascii="Symbol" w:hAnsi="Symbol"/>
                        <w:b/>
                        <w:sz w:val="64"/>
                      </w:rPr>
                    </w:pPr>
                    <w:r>
                      <w:rPr>
                        <w:rFonts w:ascii="Symbol" w:hAnsi="Symbol"/>
                        <w:b/>
                        <w:color w:val="FFFFFF"/>
                        <w:w w:val="100"/>
                        <w:sz w:val="64"/>
                      </w:rPr>
                      <w:t></w:t>
                    </w:r>
                  </w:p>
                </w:txbxContent>
              </v:textbox>
              <w10:wrap type="none"/>
            </v:shape>
            <w10:wrap type="none"/>
          </v:group>
        </w:pict>
      </w:r>
    </w:p>
    <w:p>
      <w:pPr>
        <w:pStyle w:val="BodyText"/>
        <w:ind w:left="928"/>
      </w:pPr>
      <w:r>
        <w:rPr/>
        <w:pict>
          <v:group style="width:447.15pt;height:222.6pt;mso-position-horizontal-relative:char;mso-position-vertical-relative:line" coordorigin="0,0" coordsize="8943,4452">
            <v:shape style="position:absolute;left:38;top:52;width:8888;height:4384" type="#_x0000_t75" stroked="false">
              <v:imagedata r:id="rId26" o:title=""/>
            </v:shape>
            <v:shape style="position:absolute;left:0;top:0;width:8943;height:4452" type="#_x0000_t75" stroked="false">
              <v:imagedata r:id="rId27" o:title=""/>
            </v:shape>
          </v:group>
        </w:pict>
      </w:r>
      <w:r>
        <w:rPr/>
      </w:r>
    </w:p>
    <w:p>
      <w:pPr>
        <w:spacing w:after="0"/>
        <w:sectPr>
          <w:type w:val="continuous"/>
          <w:pgSz w:w="10800" w:h="15600"/>
          <w:pgMar w:top="1480" w:bottom="280" w:left="0" w:right="0"/>
        </w:sectPr>
      </w:pPr>
    </w:p>
    <w:p>
      <w:pPr>
        <w:pStyle w:val="Heading2"/>
        <w:spacing w:before="188"/>
        <w:ind w:right="573"/>
        <w:rPr>
          <w:b w:val="0"/>
        </w:rPr>
      </w:pPr>
      <w:r>
        <w:rPr>
          <w:b w:val="0"/>
        </w:rPr>
        <w:t>Licensing Guide for Microsoft Dynamics 365 Business Central</w:t>
      </w:r>
    </w:p>
    <w:p>
      <w:pPr>
        <w:pStyle w:val="BodyText"/>
        <w:spacing w:line="253" w:lineRule="exact" w:before="196"/>
        <w:ind w:left="568" w:right="571"/>
        <w:jc w:val="center"/>
        <w:rPr>
          <w:b w:val="0"/>
        </w:rPr>
      </w:pPr>
      <w:r>
        <w:rPr>
          <w:b w:val="0"/>
        </w:rPr>
        <w:t>This guide is designed to improve your understanding the licensing for Microsoft Dynamics 365 Business Central.</w:t>
      </w:r>
    </w:p>
    <w:p>
      <w:pPr>
        <w:pStyle w:val="BodyText"/>
        <w:spacing w:line="253" w:lineRule="exact"/>
        <w:ind w:left="568" w:right="573"/>
        <w:jc w:val="center"/>
        <w:rPr>
          <w:b w:val="0"/>
        </w:rPr>
      </w:pPr>
      <w:r>
        <w:rPr/>
        <w:pict>
          <v:group style="position:absolute;margin-left:0pt;margin-top:26.560631pt;width:540pt;height:190pt;mso-position-horizontal-relative:page;mso-position-vertical-relative:paragraph;z-index:15735808" coordorigin="0,531" coordsize="10800,3800">
            <v:rect style="position:absolute;left:0;top:531;width:10800;height:3800" filled="true" fillcolor="#ebebeb" stroked="false">
              <v:fill type="solid"/>
            </v:rect>
            <v:shape style="position:absolute;left:408;top:1359;width:3137;height:2741" type="#_x0000_t75" stroked="false">
              <v:imagedata r:id="rId29" o:title=""/>
            </v:shape>
            <v:rect style="position:absolute;left:540;top:1486;width:2880;height:2494" filled="true" fillcolor="#ffffff" stroked="false">
              <v:fill type="solid"/>
            </v:rect>
            <v:shape style="position:absolute;left:3828;top:1359;width:3137;height:2741" type="#_x0000_t75" stroked="false">
              <v:imagedata r:id="rId29" o:title=""/>
            </v:shape>
            <v:rect style="position:absolute;left:3960;top:1486;width:2880;height:2494" filled="true" fillcolor="#ffffff" stroked="false">
              <v:fill type="solid"/>
            </v:rect>
            <v:shape style="position:absolute;left:7248;top:1359;width:3137;height:2741" type="#_x0000_t75" stroked="false">
              <v:imagedata r:id="rId29" o:title=""/>
            </v:shape>
            <v:rect style="position:absolute;left:7380;top:1486;width:2880;height:2494" filled="true" fillcolor="#ffffff" stroked="false">
              <v:fill type="solid"/>
            </v:rect>
            <v:shape style="position:absolute;left:684;top:2633;width:9432;height:15" coordorigin="684,2634" coordsize="9432,15" path="m3276,2634l684,2634,684,2648,3276,2648,3276,2634xm6696,2634l4104,2634,4104,2648,6696,2648,6696,2634xm10116,2634l7524,2634,7524,2648,10116,2648,10116,2634xe" filled="true" fillcolor="#7e7e7e" stroked="false">
              <v:path arrowok="t"/>
              <v:fill type="solid"/>
            </v:shape>
            <v:shape style="position:absolute;left:5000;top:791;width:820;height:374" type="#_x0000_t202" filled="false" stroked="false">
              <v:textbox inset="0,0,0,0">
                <w:txbxContent>
                  <w:p>
                    <w:pPr>
                      <w:spacing w:before="1"/>
                      <w:ind w:left="0" w:right="0" w:firstLine="0"/>
                      <w:jc w:val="left"/>
                      <w:rPr>
                        <w:b w:val="0"/>
                        <w:sz w:val="28"/>
                      </w:rPr>
                    </w:pPr>
                    <w:r>
                      <w:rPr>
                        <w:b w:val="0"/>
                        <w:sz w:val="28"/>
                      </w:rPr>
                      <w:t>Pricing</w:t>
                    </w:r>
                  </w:p>
                </w:txbxContent>
              </v:textbox>
              <w10:wrap type="none"/>
            </v:shape>
            <v:shape style="position:absolute;left:7380;top:1486;width:2880;height:2494" type="#_x0000_t202" filled="false" stroked="false">
              <v:textbox inset="0,0,0,0">
                <w:txbxContent>
                  <w:p>
                    <w:pPr>
                      <w:spacing w:line="240" w:lineRule="auto" w:before="12"/>
                      <w:rPr>
                        <w:b w:val="0"/>
                        <w:sz w:val="22"/>
                      </w:rPr>
                    </w:pPr>
                  </w:p>
                  <w:p>
                    <w:pPr>
                      <w:spacing w:before="0"/>
                      <w:ind w:left="133" w:right="133" w:firstLine="0"/>
                      <w:jc w:val="center"/>
                      <w:rPr>
                        <w:b w:val="0"/>
                        <w:sz w:val="20"/>
                      </w:rPr>
                    </w:pPr>
                    <w:r>
                      <w:rPr>
                        <w:b w:val="0"/>
                        <w:sz w:val="20"/>
                      </w:rPr>
                      <w:t>Dynamics 365 Business Central</w:t>
                    </w:r>
                  </w:p>
                  <w:p>
                    <w:pPr>
                      <w:spacing w:before="73"/>
                      <w:ind w:left="133" w:right="129" w:firstLine="0"/>
                      <w:jc w:val="center"/>
                      <w:rPr>
                        <w:rFonts w:ascii="Segoe UI"/>
                        <w:b/>
                        <w:sz w:val="21"/>
                      </w:rPr>
                    </w:pPr>
                    <w:r>
                      <w:rPr>
                        <w:rFonts w:ascii="Segoe UI"/>
                        <w:b/>
                        <w:sz w:val="21"/>
                      </w:rPr>
                      <w:t>Members</w:t>
                    </w:r>
                  </w:p>
                  <w:p>
                    <w:pPr>
                      <w:spacing w:line="240" w:lineRule="auto" w:before="8"/>
                      <w:rPr>
                        <w:rFonts w:ascii="Segoe UI"/>
                        <w:b/>
                        <w:sz w:val="31"/>
                      </w:rPr>
                    </w:pPr>
                  </w:p>
                  <w:p>
                    <w:pPr>
                      <w:spacing w:before="0"/>
                      <w:ind w:left="133" w:right="133" w:firstLine="0"/>
                      <w:jc w:val="center"/>
                      <w:rPr>
                        <w:rFonts w:ascii="Segoe UI"/>
                        <w:b/>
                        <w:sz w:val="36"/>
                      </w:rPr>
                    </w:pPr>
                    <w:r>
                      <w:rPr>
                        <w:rFonts w:ascii="Segoe UI"/>
                        <w:b/>
                        <w:sz w:val="36"/>
                      </w:rPr>
                      <w:t>$8</w:t>
                    </w:r>
                  </w:p>
                  <w:p>
                    <w:pPr>
                      <w:spacing w:before="108"/>
                      <w:ind w:left="133" w:right="129" w:firstLine="0"/>
                      <w:jc w:val="center"/>
                      <w:rPr>
                        <w:b w:val="0"/>
                        <w:sz w:val="16"/>
                      </w:rPr>
                    </w:pPr>
                    <w:r>
                      <w:rPr>
                        <w:b w:val="0"/>
                        <w:sz w:val="16"/>
                      </w:rPr>
                      <w:t>Per user/month</w:t>
                    </w:r>
                  </w:p>
                </w:txbxContent>
              </v:textbox>
              <w10:wrap type="none"/>
            </v:shape>
            <v:shape style="position:absolute;left:3960;top:1486;width:2880;height:2494" type="#_x0000_t202" filled="false" stroked="false">
              <v:textbox inset="0,0,0,0">
                <w:txbxContent>
                  <w:p>
                    <w:pPr>
                      <w:spacing w:line="240" w:lineRule="auto" w:before="12"/>
                      <w:rPr>
                        <w:b w:val="0"/>
                        <w:sz w:val="22"/>
                      </w:rPr>
                    </w:pPr>
                  </w:p>
                  <w:p>
                    <w:pPr>
                      <w:spacing w:before="0"/>
                      <w:ind w:left="133" w:right="133" w:firstLine="0"/>
                      <w:jc w:val="center"/>
                      <w:rPr>
                        <w:b w:val="0"/>
                        <w:sz w:val="20"/>
                      </w:rPr>
                    </w:pPr>
                    <w:r>
                      <w:rPr>
                        <w:b w:val="0"/>
                        <w:sz w:val="20"/>
                      </w:rPr>
                      <w:t>Dynamics 365 Business Central</w:t>
                    </w:r>
                  </w:p>
                  <w:p>
                    <w:pPr>
                      <w:spacing w:before="73"/>
                      <w:ind w:left="133" w:right="133" w:firstLine="0"/>
                      <w:jc w:val="center"/>
                      <w:rPr>
                        <w:rFonts w:ascii="Segoe UI"/>
                        <w:b/>
                        <w:sz w:val="21"/>
                      </w:rPr>
                    </w:pPr>
                    <w:r>
                      <w:rPr>
                        <w:rFonts w:ascii="Segoe UI"/>
                        <w:b/>
                        <w:sz w:val="21"/>
                      </w:rPr>
                      <w:t>Premium</w:t>
                    </w:r>
                  </w:p>
                  <w:p>
                    <w:pPr>
                      <w:spacing w:line="240" w:lineRule="auto" w:before="8"/>
                      <w:rPr>
                        <w:rFonts w:ascii="Segoe UI"/>
                        <w:b/>
                        <w:sz w:val="31"/>
                      </w:rPr>
                    </w:pPr>
                  </w:p>
                  <w:p>
                    <w:pPr>
                      <w:spacing w:before="0"/>
                      <w:ind w:left="133" w:right="133" w:firstLine="0"/>
                      <w:jc w:val="center"/>
                      <w:rPr>
                        <w:rFonts w:ascii="Segoe UI"/>
                        <w:b/>
                        <w:sz w:val="36"/>
                      </w:rPr>
                    </w:pPr>
                    <w:r>
                      <w:rPr>
                        <w:rFonts w:ascii="Segoe UI"/>
                        <w:b/>
                        <w:sz w:val="36"/>
                      </w:rPr>
                      <w:t>$100</w:t>
                    </w:r>
                  </w:p>
                  <w:p>
                    <w:pPr>
                      <w:spacing w:before="108"/>
                      <w:ind w:left="133" w:right="131" w:firstLine="0"/>
                      <w:jc w:val="center"/>
                      <w:rPr>
                        <w:b w:val="0"/>
                        <w:sz w:val="16"/>
                      </w:rPr>
                    </w:pPr>
                    <w:r>
                      <w:rPr>
                        <w:b w:val="0"/>
                        <w:sz w:val="16"/>
                      </w:rPr>
                      <w:t>Per</w:t>
                    </w:r>
                    <w:r>
                      <w:rPr>
                        <w:b w:val="0"/>
                        <w:spacing w:val="-2"/>
                        <w:sz w:val="16"/>
                      </w:rPr>
                      <w:t> </w:t>
                    </w:r>
                    <w:r>
                      <w:rPr>
                        <w:b w:val="0"/>
                        <w:sz w:val="16"/>
                      </w:rPr>
                      <w:t>user/month</w:t>
                    </w:r>
                  </w:p>
                </w:txbxContent>
              </v:textbox>
              <w10:wrap type="none"/>
            </v:shape>
            <v:shape style="position:absolute;left:540;top:1486;width:2880;height:2494" type="#_x0000_t202" filled="false" stroked="false">
              <v:textbox inset="0,0,0,0">
                <w:txbxContent>
                  <w:p>
                    <w:pPr>
                      <w:spacing w:line="240" w:lineRule="auto" w:before="12"/>
                      <w:rPr>
                        <w:b w:val="0"/>
                        <w:sz w:val="22"/>
                      </w:rPr>
                    </w:pPr>
                  </w:p>
                  <w:p>
                    <w:pPr>
                      <w:spacing w:before="0"/>
                      <w:ind w:left="133" w:right="134" w:firstLine="0"/>
                      <w:jc w:val="center"/>
                      <w:rPr>
                        <w:b w:val="0"/>
                        <w:sz w:val="20"/>
                      </w:rPr>
                    </w:pPr>
                    <w:r>
                      <w:rPr>
                        <w:b w:val="0"/>
                        <w:sz w:val="20"/>
                      </w:rPr>
                      <w:t>Dynamics 365 Business Central</w:t>
                    </w:r>
                  </w:p>
                  <w:p>
                    <w:pPr>
                      <w:spacing w:before="73"/>
                      <w:ind w:left="133" w:right="134" w:firstLine="0"/>
                      <w:jc w:val="center"/>
                      <w:rPr>
                        <w:rFonts w:ascii="Segoe UI"/>
                        <w:b/>
                        <w:sz w:val="21"/>
                      </w:rPr>
                    </w:pPr>
                    <w:r>
                      <w:rPr>
                        <w:rFonts w:ascii="Segoe UI"/>
                        <w:b/>
                        <w:sz w:val="21"/>
                      </w:rPr>
                      <w:t>Essentials</w:t>
                    </w:r>
                  </w:p>
                  <w:p>
                    <w:pPr>
                      <w:spacing w:line="240" w:lineRule="auto" w:before="8"/>
                      <w:rPr>
                        <w:rFonts w:ascii="Segoe UI"/>
                        <w:b/>
                        <w:sz w:val="31"/>
                      </w:rPr>
                    </w:pPr>
                  </w:p>
                  <w:p>
                    <w:pPr>
                      <w:spacing w:before="0"/>
                      <w:ind w:left="133" w:right="134" w:firstLine="0"/>
                      <w:jc w:val="center"/>
                      <w:rPr>
                        <w:rFonts w:ascii="Segoe UI"/>
                        <w:b/>
                        <w:sz w:val="36"/>
                      </w:rPr>
                    </w:pPr>
                    <w:r>
                      <w:rPr>
                        <w:rFonts w:ascii="Segoe UI"/>
                        <w:b/>
                        <w:sz w:val="36"/>
                      </w:rPr>
                      <w:t>$70</w:t>
                    </w:r>
                  </w:p>
                  <w:p>
                    <w:pPr>
                      <w:spacing w:before="108"/>
                      <w:ind w:left="133" w:right="132" w:firstLine="0"/>
                      <w:jc w:val="center"/>
                      <w:rPr>
                        <w:b w:val="0"/>
                        <w:sz w:val="16"/>
                      </w:rPr>
                    </w:pPr>
                    <w:r>
                      <w:rPr>
                        <w:b w:val="0"/>
                        <w:sz w:val="16"/>
                      </w:rPr>
                      <w:t>Per user/month</w:t>
                    </w:r>
                  </w:p>
                </w:txbxContent>
              </v:textbox>
              <w10:wrap type="none"/>
            </v:shape>
            <w10:wrap type="none"/>
          </v:group>
        </w:pict>
      </w:r>
      <w:r>
        <w:rPr>
          <w:b w:val="0"/>
        </w:rPr>
        <w:t>This guide does not supersede or replace any of the legal documentation covering use rights.</w:t>
      </w: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spacing w:before="6"/>
        <w:rPr>
          <w:b w:val="0"/>
          <w:sz w:val="22"/>
        </w:rPr>
      </w:pPr>
    </w:p>
    <w:p>
      <w:pPr>
        <w:pStyle w:val="Heading1"/>
        <w:rPr>
          <w:b w:val="0"/>
        </w:rPr>
      </w:pPr>
      <w:r>
        <w:rPr>
          <w:b w:val="0"/>
        </w:rPr>
        <w:t>Microsoft Dynamics 365 Subscription License Types</w:t>
      </w:r>
    </w:p>
    <w:p>
      <w:pPr>
        <w:pStyle w:val="BodyText"/>
        <w:spacing w:before="2"/>
        <w:rPr>
          <w:b w:val="0"/>
          <w:sz w:val="23"/>
        </w:rPr>
      </w:pPr>
    </w:p>
    <w:p>
      <w:pPr>
        <w:pStyle w:val="BodyText"/>
        <w:spacing w:line="253" w:lineRule="exact" w:before="99"/>
        <w:ind w:left="566"/>
        <w:rPr>
          <w:b w:val="0"/>
        </w:rPr>
      </w:pPr>
      <w:r>
        <w:rPr>
          <w:b w:val="0"/>
        </w:rPr>
        <w:t>Microsoft Dynamics 365 simplifies licensing of business applications. The primary licensing is by named</w:t>
      </w:r>
    </w:p>
    <w:p>
      <w:pPr>
        <w:pStyle w:val="BodyText"/>
        <w:spacing w:line="240" w:lineRule="exact"/>
        <w:ind w:left="566"/>
        <w:rPr>
          <w:b w:val="0"/>
        </w:rPr>
      </w:pPr>
      <w:r>
        <w:rPr>
          <w:b w:val="0"/>
        </w:rPr>
        <w:t>user subscription. The Microsoft Dynamics 365 user subscriptions classify users into two types, “full users” and</w:t>
      </w:r>
    </w:p>
    <w:p>
      <w:pPr>
        <w:pStyle w:val="BodyText"/>
        <w:spacing w:line="253" w:lineRule="exact"/>
        <w:ind w:left="566"/>
        <w:rPr>
          <w:b w:val="0"/>
        </w:rPr>
      </w:pPr>
      <w:r>
        <w:rPr>
          <w:b w:val="0"/>
        </w:rPr>
        <w:t>“additional users”.</w:t>
      </w:r>
    </w:p>
    <w:p>
      <w:pPr>
        <w:pStyle w:val="BodyText"/>
        <w:spacing w:before="5"/>
        <w:rPr>
          <w:b w:val="0"/>
          <w:sz w:val="26"/>
        </w:rPr>
      </w:pPr>
    </w:p>
    <w:p>
      <w:pPr>
        <w:pStyle w:val="BodyText"/>
        <w:spacing w:line="216" w:lineRule="auto"/>
        <w:ind w:left="566" w:right="612"/>
        <w:rPr>
          <w:b w:val="0"/>
        </w:rPr>
      </w:pPr>
      <w:r>
        <w:rPr>
          <w:b w:val="0"/>
        </w:rPr>
        <w:t>Full users are the users whose work requires use of the feature rich business applications functionality. Examples of full users are sales people, customer service representatives, finance employees, controllers and supply chain managers. These users have also been referred to in the past as Pro users or Power Users. These full users are licensed with a Dynamics 365 Business Central subscription.</w:t>
      </w:r>
    </w:p>
    <w:p>
      <w:pPr>
        <w:pStyle w:val="BodyText"/>
        <w:spacing w:before="5"/>
        <w:rPr>
          <w:b w:val="0"/>
          <w:sz w:val="24"/>
        </w:rPr>
      </w:pPr>
    </w:p>
    <w:p>
      <w:pPr>
        <w:pStyle w:val="BodyText"/>
        <w:spacing w:line="216" w:lineRule="auto"/>
        <w:ind w:left="566" w:right="671"/>
        <w:rPr>
          <w:b w:val="0"/>
        </w:rPr>
      </w:pPr>
      <w:r>
        <w:rPr>
          <w:b w:val="0"/>
        </w:rPr>
        <w:t>Additional users often represent a significant percentage of users in an organization and may consume data or reports from line of business systems, complete light tasks like time or expense entry and HR record updates or be heavier users of the system, but not require full user capabilities. These additional users are licensed with Dynamics 365 Business Central Team Members.</w:t>
      </w:r>
    </w:p>
    <w:p>
      <w:pPr>
        <w:pStyle w:val="BodyText"/>
        <w:rPr>
          <w:b w:val="0"/>
        </w:rPr>
      </w:pPr>
    </w:p>
    <w:p>
      <w:pPr>
        <w:pStyle w:val="BodyText"/>
        <w:spacing w:before="4"/>
        <w:rPr>
          <w:b w:val="0"/>
          <w:sz w:val="16"/>
        </w:rPr>
      </w:pPr>
      <w:r>
        <w:rPr/>
        <w:drawing>
          <wp:anchor distT="0" distB="0" distL="0" distR="0" allowOverlap="1" layoutInCell="1" locked="0" behindDoc="0" simplePos="0" relativeHeight="13">
            <wp:simplePos x="0" y="0"/>
            <wp:positionH relativeFrom="page">
              <wp:posOffset>342900</wp:posOffset>
            </wp:positionH>
            <wp:positionV relativeFrom="paragraph">
              <wp:posOffset>163052</wp:posOffset>
            </wp:positionV>
            <wp:extent cx="6142928" cy="2238756"/>
            <wp:effectExtent l="0" t="0" r="0" b="0"/>
            <wp:wrapTopAndBottom/>
            <wp:docPr id="1" name="image20.jpeg"/>
            <wp:cNvGraphicFramePr>
              <a:graphicFrameLocks noChangeAspect="1"/>
            </wp:cNvGraphicFramePr>
            <a:graphic>
              <a:graphicData uri="http://schemas.openxmlformats.org/drawingml/2006/picture">
                <pic:pic>
                  <pic:nvPicPr>
                    <pic:cNvPr id="2" name="image20.jpeg"/>
                    <pic:cNvPicPr/>
                  </pic:nvPicPr>
                  <pic:blipFill>
                    <a:blip r:embed="rId30" cstate="print"/>
                    <a:stretch>
                      <a:fillRect/>
                    </a:stretch>
                  </pic:blipFill>
                  <pic:spPr>
                    <a:xfrm>
                      <a:off x="0" y="0"/>
                      <a:ext cx="6142928" cy="2238756"/>
                    </a:xfrm>
                    <a:prstGeom prst="rect">
                      <a:avLst/>
                    </a:prstGeom>
                  </pic:spPr>
                </pic:pic>
              </a:graphicData>
            </a:graphic>
          </wp:anchor>
        </w:drawing>
      </w:r>
    </w:p>
    <w:p>
      <w:pPr>
        <w:spacing w:after="0"/>
        <w:rPr>
          <w:sz w:val="16"/>
        </w:rPr>
        <w:sectPr>
          <w:headerReference w:type="default" r:id="rId28"/>
          <w:pgSz w:w="10800" w:h="15600"/>
          <w:pgMar w:header="0" w:footer="0" w:top="660" w:bottom="280" w:left="0" w:right="0"/>
        </w:sectPr>
      </w:pPr>
    </w:p>
    <w:p>
      <w:pPr>
        <w:pStyle w:val="BodyText"/>
        <w:spacing w:before="6"/>
        <w:rPr>
          <w:b w:val="0"/>
        </w:rPr>
      </w:pPr>
    </w:p>
    <w:p>
      <w:pPr>
        <w:pStyle w:val="Heading3"/>
        <w:rPr>
          <w:b w:val="0"/>
          <w:u w:val="none"/>
        </w:rPr>
      </w:pPr>
      <w:r>
        <w:rPr>
          <w:b w:val="0"/>
          <w:color w:val="0075AB"/>
          <w:u w:val="single" w:color="0075AB"/>
        </w:rPr>
        <w:t>Dynamics 365 Business Central Team Members</w:t>
      </w:r>
    </w:p>
    <w:p>
      <w:pPr>
        <w:pStyle w:val="BodyText"/>
        <w:spacing w:before="12"/>
        <w:rPr>
          <w:b w:val="0"/>
          <w:sz w:val="19"/>
        </w:rPr>
      </w:pPr>
    </w:p>
    <w:p>
      <w:pPr>
        <w:pStyle w:val="BodyText"/>
        <w:spacing w:line="216" w:lineRule="auto" w:before="121"/>
        <w:ind w:left="566" w:right="612"/>
        <w:rPr>
          <w:b w:val="0"/>
        </w:rPr>
      </w:pPr>
      <w:r>
        <w:rPr>
          <w:b w:val="0"/>
        </w:rPr>
        <w:t>The Dynamics 365 Business Central Team Members subscription is a named user subscription designed for users who are not tied to a particular function, but who require basic Dynamics 365 Business Central functionality.</w:t>
      </w:r>
    </w:p>
    <w:p>
      <w:pPr>
        <w:pStyle w:val="BodyText"/>
        <w:spacing w:before="2"/>
        <w:rPr>
          <w:b w:val="0"/>
          <w:sz w:val="18"/>
        </w:rPr>
      </w:pPr>
    </w:p>
    <w:p>
      <w:pPr>
        <w:pStyle w:val="BodyText"/>
        <w:spacing w:line="216" w:lineRule="auto"/>
        <w:ind w:left="566" w:right="411"/>
        <w:rPr>
          <w:b w:val="0"/>
        </w:rPr>
      </w:pPr>
      <w:r>
        <w:rPr>
          <w:b w:val="0"/>
        </w:rPr>
        <w:t>This license includes read access as well as some write access for select light tasks across Dynamics 365 Business Central functionality for a given tenant.</w:t>
      </w:r>
    </w:p>
    <w:p>
      <w:pPr>
        <w:pStyle w:val="BodyText"/>
        <w:spacing w:before="1"/>
        <w:rPr>
          <w:b w:val="0"/>
          <w:sz w:val="18"/>
        </w:rPr>
      </w:pPr>
    </w:p>
    <w:p>
      <w:pPr>
        <w:pStyle w:val="BodyText"/>
        <w:spacing w:line="216" w:lineRule="auto" w:before="1"/>
        <w:ind w:left="566" w:right="612"/>
        <w:rPr>
          <w:b w:val="0"/>
        </w:rPr>
      </w:pPr>
      <w:r>
        <w:rPr>
          <w:b w:val="0"/>
        </w:rPr>
        <w:t>The Dynamics 365 Business Central Team Members SL grants a user full read access to Dynamics 365 Business Central Essentials and Dynamics 365 Business Central Premium for a given tenant.</w:t>
      </w:r>
    </w:p>
    <w:p>
      <w:pPr>
        <w:pStyle w:val="BodyText"/>
        <w:spacing w:before="1"/>
        <w:rPr>
          <w:b w:val="0"/>
          <w:sz w:val="18"/>
        </w:rPr>
      </w:pPr>
    </w:p>
    <w:p>
      <w:pPr>
        <w:pStyle w:val="BodyText"/>
        <w:spacing w:line="216" w:lineRule="auto"/>
        <w:ind w:left="566" w:right="1138"/>
        <w:rPr>
          <w:b w:val="0"/>
        </w:rPr>
      </w:pPr>
      <w:r>
        <w:rPr>
          <w:b w:val="0"/>
        </w:rPr>
        <w:t>In addition, the Dynamics 365 Business Central Team Members SL includes some limited use write access to Dynamics 365 Business Central Essentials and Premium.</w:t>
      </w:r>
    </w:p>
    <w:p>
      <w:pPr>
        <w:pStyle w:val="BodyText"/>
        <w:spacing w:before="2"/>
        <w:rPr>
          <w:b w:val="0"/>
          <w:sz w:val="18"/>
        </w:rPr>
      </w:pPr>
    </w:p>
    <w:p>
      <w:pPr>
        <w:pStyle w:val="BodyText"/>
        <w:spacing w:line="216" w:lineRule="auto" w:before="1"/>
        <w:ind w:left="566" w:right="1645"/>
        <w:rPr>
          <w:b w:val="0"/>
        </w:rPr>
      </w:pPr>
      <w:r>
        <w:rPr>
          <w:b w:val="0"/>
        </w:rPr>
        <w:t>Dynamics 365 Business Central Team Members also includes the “PowerApps for Dynamics 365 Applications” license.</w:t>
      </w:r>
    </w:p>
    <w:p>
      <w:pPr>
        <w:pStyle w:val="BodyText"/>
        <w:spacing w:before="1"/>
        <w:rPr>
          <w:b w:val="0"/>
          <w:sz w:val="18"/>
        </w:rPr>
      </w:pPr>
    </w:p>
    <w:p>
      <w:pPr>
        <w:pStyle w:val="BodyText"/>
        <w:spacing w:line="216" w:lineRule="auto"/>
        <w:ind w:left="566" w:right="411"/>
        <w:rPr>
          <w:b w:val="0"/>
        </w:rPr>
      </w:pPr>
      <w:r>
        <w:rPr>
          <w:b w:val="0"/>
        </w:rPr>
        <w:t>Dynamics 365 Business Central Team Members users can use PowerApps to access Dynamics 365 Business Centre within the bounds of their Team Members license.</w:t>
      </w:r>
    </w:p>
    <w:p>
      <w:pPr>
        <w:pStyle w:val="BodyText"/>
        <w:spacing w:before="2"/>
        <w:rPr>
          <w:b w:val="0"/>
          <w:sz w:val="18"/>
        </w:rPr>
      </w:pPr>
    </w:p>
    <w:p>
      <w:pPr>
        <w:pStyle w:val="BodyText"/>
        <w:spacing w:line="216" w:lineRule="auto"/>
        <w:ind w:left="566" w:right="997"/>
        <w:rPr>
          <w:b w:val="0"/>
        </w:rPr>
      </w:pPr>
      <w:r>
        <w:rPr>
          <w:b w:val="0"/>
        </w:rPr>
        <w:t>Dynamics 365 Business Central Team Members requires that at least one other user be licensed with Dynamics 365 Business Central Essentials or Dynamics 365 Business Central</w:t>
      </w:r>
      <w:r>
        <w:rPr>
          <w:b w:val="0"/>
          <w:spacing w:val="10"/>
        </w:rPr>
        <w:t> </w:t>
      </w:r>
      <w:r>
        <w:rPr>
          <w:b w:val="0"/>
        </w:rPr>
        <w:t>Premium.</w:t>
      </w:r>
    </w:p>
    <w:p>
      <w:pPr>
        <w:pStyle w:val="BodyText"/>
        <w:spacing w:before="220"/>
        <w:ind w:left="566"/>
        <w:rPr>
          <w:b w:val="0"/>
        </w:rPr>
      </w:pPr>
      <w:r>
        <w:rPr>
          <w:b w:val="0"/>
        </w:rPr>
        <w:t>Dynamics 365 Business Central Team Members users can do the</w:t>
      </w:r>
      <w:r>
        <w:rPr>
          <w:b w:val="0"/>
          <w:spacing w:val="-16"/>
        </w:rPr>
        <w:t> </w:t>
      </w:r>
      <w:r>
        <w:rPr>
          <w:b w:val="0"/>
        </w:rPr>
        <w:t>following:</w:t>
      </w:r>
    </w:p>
    <w:p>
      <w:pPr>
        <w:pStyle w:val="ListParagraph"/>
        <w:numPr>
          <w:ilvl w:val="0"/>
          <w:numId w:val="1"/>
        </w:numPr>
        <w:tabs>
          <w:tab w:pos="1100" w:val="left" w:leader="none"/>
        </w:tabs>
        <w:spacing w:line="253" w:lineRule="exact" w:before="214" w:after="0"/>
        <w:ind w:left="1099" w:right="0" w:hanging="270"/>
        <w:jc w:val="left"/>
        <w:rPr>
          <w:b w:val="0"/>
          <w:sz w:val="20"/>
        </w:rPr>
      </w:pPr>
      <w:r>
        <w:rPr>
          <w:b w:val="0"/>
          <w:sz w:val="20"/>
        </w:rPr>
        <w:t>Read anything within Dynamics 365 Business</w:t>
      </w:r>
      <w:r>
        <w:rPr>
          <w:b w:val="0"/>
          <w:spacing w:val="13"/>
          <w:sz w:val="20"/>
        </w:rPr>
        <w:t> </w:t>
      </w:r>
      <w:r>
        <w:rPr>
          <w:b w:val="0"/>
          <w:sz w:val="20"/>
        </w:rPr>
        <w:t>Central</w:t>
      </w:r>
    </w:p>
    <w:p>
      <w:pPr>
        <w:pStyle w:val="ListParagraph"/>
        <w:numPr>
          <w:ilvl w:val="0"/>
          <w:numId w:val="1"/>
        </w:numPr>
        <w:tabs>
          <w:tab w:pos="1100" w:val="left" w:leader="none"/>
        </w:tabs>
        <w:spacing w:line="216" w:lineRule="auto" w:before="8" w:after="0"/>
        <w:ind w:left="1099" w:right="734" w:hanging="269"/>
        <w:jc w:val="left"/>
        <w:rPr>
          <w:b w:val="0"/>
          <w:sz w:val="20"/>
        </w:rPr>
      </w:pPr>
      <w:r>
        <w:rPr>
          <w:b w:val="0"/>
          <w:sz w:val="20"/>
        </w:rPr>
        <w:t>Update existing data and entries in Dynamics 365 Business Central - existing data are records like customer, vendor or item records which are already created. Entries means entries on which it is specifically allowed from an accounting perspective to update specific information. (e.g. due date on customer ledger</w:t>
      </w:r>
      <w:r>
        <w:rPr>
          <w:b w:val="0"/>
          <w:spacing w:val="-33"/>
          <w:sz w:val="20"/>
        </w:rPr>
        <w:t> </w:t>
      </w:r>
      <w:r>
        <w:rPr>
          <w:b w:val="0"/>
          <w:sz w:val="20"/>
        </w:rPr>
        <w:t>entries)</w:t>
      </w:r>
    </w:p>
    <w:p>
      <w:pPr>
        <w:pStyle w:val="ListParagraph"/>
        <w:numPr>
          <w:ilvl w:val="0"/>
          <w:numId w:val="1"/>
        </w:numPr>
        <w:tabs>
          <w:tab w:pos="1100" w:val="left" w:leader="none"/>
        </w:tabs>
        <w:spacing w:line="233" w:lineRule="exact" w:before="0" w:after="0"/>
        <w:ind w:left="1099" w:right="0" w:hanging="270"/>
        <w:jc w:val="left"/>
        <w:rPr>
          <w:b w:val="0"/>
          <w:sz w:val="20"/>
        </w:rPr>
      </w:pPr>
      <w:r>
        <w:rPr>
          <w:b w:val="0"/>
          <w:sz w:val="20"/>
        </w:rPr>
        <w:t>Approve or reject tasks in all workflows assigned to a</w:t>
      </w:r>
      <w:r>
        <w:rPr>
          <w:b w:val="0"/>
          <w:spacing w:val="3"/>
          <w:sz w:val="20"/>
        </w:rPr>
        <w:t> </w:t>
      </w:r>
      <w:r>
        <w:rPr>
          <w:b w:val="0"/>
          <w:sz w:val="20"/>
        </w:rPr>
        <w:t>user</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Create, edit, delete a</w:t>
      </w:r>
      <w:r>
        <w:rPr>
          <w:b w:val="0"/>
          <w:spacing w:val="1"/>
          <w:sz w:val="20"/>
        </w:rPr>
        <w:t> </w:t>
      </w:r>
      <w:r>
        <w:rPr>
          <w:b w:val="0"/>
          <w:sz w:val="20"/>
        </w:rPr>
        <w:t>quote</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Create, edit, delete personal</w:t>
      </w:r>
      <w:r>
        <w:rPr>
          <w:b w:val="0"/>
          <w:spacing w:val="3"/>
          <w:sz w:val="20"/>
        </w:rPr>
        <w:t> </w:t>
      </w:r>
      <w:r>
        <w:rPr>
          <w:b w:val="0"/>
          <w:sz w:val="20"/>
        </w:rPr>
        <w:t>information</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Enter a time sheet for</w:t>
      </w:r>
      <w:r>
        <w:rPr>
          <w:b w:val="0"/>
          <w:spacing w:val="-1"/>
          <w:sz w:val="20"/>
        </w:rPr>
        <w:t> </w:t>
      </w:r>
      <w:r>
        <w:rPr>
          <w:b w:val="0"/>
          <w:sz w:val="20"/>
        </w:rPr>
        <w:t>Jobs</w:t>
      </w:r>
    </w:p>
    <w:p>
      <w:pPr>
        <w:pStyle w:val="ListParagraph"/>
        <w:numPr>
          <w:ilvl w:val="0"/>
          <w:numId w:val="1"/>
        </w:numPr>
        <w:tabs>
          <w:tab w:pos="1100" w:val="left" w:leader="none"/>
        </w:tabs>
        <w:spacing w:line="253" w:lineRule="exact" w:before="0" w:after="0"/>
        <w:ind w:left="1099" w:right="0" w:hanging="270"/>
        <w:jc w:val="left"/>
        <w:rPr>
          <w:b w:val="0"/>
          <w:sz w:val="20"/>
        </w:rPr>
      </w:pPr>
      <w:r>
        <w:rPr>
          <w:b w:val="0"/>
          <w:sz w:val="20"/>
        </w:rPr>
        <w:t>Use PowerApps for Dynamics</w:t>
      </w:r>
      <w:r>
        <w:rPr>
          <w:b w:val="0"/>
          <w:spacing w:val="8"/>
          <w:sz w:val="20"/>
        </w:rPr>
        <w:t> </w:t>
      </w:r>
      <w:r>
        <w:rPr>
          <w:b w:val="0"/>
          <w:sz w:val="20"/>
        </w:rPr>
        <w:t>365</w:t>
      </w:r>
    </w:p>
    <w:p>
      <w:pPr>
        <w:pStyle w:val="BodyText"/>
        <w:spacing w:before="10"/>
        <w:rPr>
          <w:b w:val="0"/>
          <w:sz w:val="17"/>
        </w:rPr>
      </w:pPr>
    </w:p>
    <w:p>
      <w:pPr>
        <w:pStyle w:val="BodyText"/>
        <w:spacing w:line="216" w:lineRule="auto"/>
        <w:ind w:left="566" w:right="671"/>
        <w:rPr>
          <w:b w:val="0"/>
        </w:rPr>
      </w:pPr>
      <w:r>
        <w:rPr>
          <w:b w:val="0"/>
        </w:rPr>
        <w:t>See Appendix A for a summary of Dynamics 365 Business Central Essentials use rights, Appendix B for a summary of Dynamics 365 Business Central Premium use rights, and the PowerApps licensing guide for additional information on PowerApps for Dynamics 365 licensing.</w:t>
      </w:r>
    </w:p>
    <w:p>
      <w:pPr>
        <w:pStyle w:val="BodyText"/>
        <w:rPr>
          <w:b w:val="0"/>
          <w:sz w:val="26"/>
        </w:rPr>
      </w:pPr>
    </w:p>
    <w:p>
      <w:pPr>
        <w:pStyle w:val="BodyText"/>
        <w:spacing w:before="2"/>
        <w:rPr>
          <w:b w:val="0"/>
          <w:sz w:val="22"/>
        </w:rPr>
      </w:pPr>
    </w:p>
    <w:p>
      <w:pPr>
        <w:pStyle w:val="Heading3"/>
        <w:spacing w:before="1"/>
        <w:rPr>
          <w:b w:val="0"/>
          <w:u w:val="none"/>
        </w:rPr>
      </w:pPr>
      <w:r>
        <w:rPr>
          <w:b w:val="0"/>
          <w:color w:val="0075AB"/>
          <w:u w:val="single" w:color="0075AB"/>
        </w:rPr>
        <w:t>Dynamics 365 Business Central</w:t>
      </w:r>
    </w:p>
    <w:p>
      <w:pPr>
        <w:pStyle w:val="BodyText"/>
        <w:spacing w:before="11"/>
        <w:rPr>
          <w:b w:val="0"/>
          <w:sz w:val="19"/>
        </w:rPr>
      </w:pPr>
    </w:p>
    <w:p>
      <w:pPr>
        <w:pStyle w:val="BodyText"/>
        <w:spacing w:line="216" w:lineRule="auto" w:before="121"/>
        <w:ind w:left="566" w:right="791"/>
        <w:rPr>
          <w:b w:val="0"/>
        </w:rPr>
      </w:pPr>
      <w:r>
        <w:rPr>
          <w:b w:val="0"/>
        </w:rPr>
        <w:t>Subscriptions are named user subscriptions where a user is licensed for Dynamics 365 Business Central Essentials or Dynamics 365 Business Central Premium.</w:t>
      </w:r>
    </w:p>
    <w:p>
      <w:pPr>
        <w:pStyle w:val="BodyText"/>
        <w:spacing w:before="220"/>
        <w:ind w:left="566"/>
        <w:rPr>
          <w:b w:val="0"/>
        </w:rPr>
      </w:pPr>
      <w:r>
        <w:rPr>
          <w:b w:val="0"/>
        </w:rPr>
        <w:t>The following application is part of Dynamics 365 Business Central: PowerApps for Dynamics 365.</w:t>
      </w:r>
    </w:p>
    <w:p>
      <w:pPr>
        <w:spacing w:after="0"/>
        <w:sectPr>
          <w:pgSz w:w="10800" w:h="15600"/>
          <w:pgMar w:header="0" w:footer="0" w:top="660" w:bottom="280" w:left="0" w:right="0"/>
        </w:sectPr>
      </w:pPr>
    </w:p>
    <w:p>
      <w:pPr>
        <w:pStyle w:val="BodyText"/>
        <w:spacing w:before="6"/>
        <w:rPr>
          <w:b w:val="0"/>
        </w:rPr>
      </w:pPr>
    </w:p>
    <w:p>
      <w:pPr>
        <w:pStyle w:val="Heading3"/>
        <w:rPr>
          <w:b w:val="0"/>
          <w:u w:val="none"/>
        </w:rPr>
      </w:pPr>
      <w:r>
        <w:rPr>
          <w:b w:val="0"/>
          <w:color w:val="0075AB"/>
          <w:u w:val="single" w:color="0075AB"/>
        </w:rPr>
        <w:t>Business Central Application</w:t>
      </w:r>
    </w:p>
    <w:p>
      <w:pPr>
        <w:pStyle w:val="BodyText"/>
        <w:spacing w:before="12"/>
        <w:rPr>
          <w:b w:val="0"/>
          <w:sz w:val="19"/>
        </w:rPr>
      </w:pPr>
    </w:p>
    <w:p>
      <w:pPr>
        <w:pStyle w:val="BodyText"/>
        <w:spacing w:line="216" w:lineRule="auto" w:before="121"/>
        <w:ind w:left="566" w:right="411"/>
        <w:rPr>
          <w:b w:val="0"/>
        </w:rPr>
      </w:pPr>
      <w:r>
        <w:rPr>
          <w:b w:val="0"/>
        </w:rPr>
        <w:t>Dynamics 365 Business Central is a comprehensive business management solution for SMBs. The Dynamics 365 Business Central application can be licensed two ways:</w:t>
      </w:r>
    </w:p>
    <w:p>
      <w:pPr>
        <w:pStyle w:val="BodyText"/>
        <w:spacing w:line="253" w:lineRule="exact" w:before="220"/>
        <w:ind w:left="566"/>
        <w:rPr>
          <w:b w:val="0"/>
        </w:rPr>
      </w:pPr>
      <w:r>
        <w:rPr>
          <w:b w:val="0"/>
        </w:rPr>
        <w:t>Dynamics 365 Business Central Essentials:</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Financial</w:t>
      </w:r>
      <w:r>
        <w:rPr>
          <w:b w:val="0"/>
          <w:spacing w:val="4"/>
          <w:sz w:val="20"/>
        </w:rPr>
        <w:t> </w:t>
      </w:r>
      <w:r>
        <w:rPr>
          <w:b w:val="0"/>
          <w:sz w:val="20"/>
        </w:rPr>
        <w:t>Management</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Customer Relationship</w:t>
      </w:r>
      <w:r>
        <w:rPr>
          <w:b w:val="0"/>
          <w:spacing w:val="3"/>
          <w:sz w:val="20"/>
        </w:rPr>
        <w:t> </w:t>
      </w:r>
      <w:r>
        <w:rPr>
          <w:b w:val="0"/>
          <w:sz w:val="20"/>
        </w:rPr>
        <w:t>Management</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Project</w:t>
      </w:r>
      <w:r>
        <w:rPr>
          <w:b w:val="0"/>
          <w:spacing w:val="2"/>
          <w:sz w:val="20"/>
        </w:rPr>
        <w:t> </w:t>
      </w:r>
      <w:r>
        <w:rPr>
          <w:b w:val="0"/>
          <w:sz w:val="20"/>
        </w:rPr>
        <w:t>Management</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Supply Chain</w:t>
      </w:r>
      <w:r>
        <w:rPr>
          <w:b w:val="0"/>
          <w:spacing w:val="7"/>
          <w:sz w:val="20"/>
        </w:rPr>
        <w:t> </w:t>
      </w:r>
      <w:r>
        <w:rPr>
          <w:b w:val="0"/>
          <w:sz w:val="20"/>
        </w:rPr>
        <w:t>Management</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Human Resources</w:t>
      </w:r>
      <w:r>
        <w:rPr>
          <w:b w:val="0"/>
          <w:spacing w:val="6"/>
          <w:sz w:val="20"/>
        </w:rPr>
        <w:t> </w:t>
      </w:r>
      <w:r>
        <w:rPr>
          <w:b w:val="0"/>
          <w:sz w:val="20"/>
        </w:rPr>
        <w:t>Management</w:t>
      </w:r>
    </w:p>
    <w:p>
      <w:pPr>
        <w:pStyle w:val="ListParagraph"/>
        <w:numPr>
          <w:ilvl w:val="0"/>
          <w:numId w:val="1"/>
        </w:numPr>
        <w:tabs>
          <w:tab w:pos="1100" w:val="left" w:leader="none"/>
        </w:tabs>
        <w:spacing w:line="253" w:lineRule="exact" w:before="0" w:after="0"/>
        <w:ind w:left="1099" w:right="0" w:hanging="270"/>
        <w:jc w:val="left"/>
        <w:rPr>
          <w:b w:val="0"/>
          <w:sz w:val="20"/>
        </w:rPr>
      </w:pPr>
      <w:r>
        <w:rPr>
          <w:b w:val="0"/>
          <w:sz w:val="20"/>
        </w:rPr>
        <w:t>Warehouse</w:t>
      </w:r>
      <w:r>
        <w:rPr>
          <w:b w:val="0"/>
          <w:spacing w:val="6"/>
          <w:sz w:val="20"/>
        </w:rPr>
        <w:t> </w:t>
      </w:r>
      <w:r>
        <w:rPr>
          <w:b w:val="0"/>
          <w:sz w:val="20"/>
        </w:rPr>
        <w:t>Management</w:t>
      </w:r>
    </w:p>
    <w:p>
      <w:pPr>
        <w:pStyle w:val="BodyText"/>
        <w:spacing w:line="253" w:lineRule="exact" w:before="214"/>
        <w:ind w:left="566"/>
        <w:rPr>
          <w:b w:val="0"/>
        </w:rPr>
      </w:pPr>
      <w:r>
        <w:rPr>
          <w:b w:val="0"/>
        </w:rPr>
        <w:t>Dynamics 365 Business Central Premium:</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Everything in</w:t>
      </w:r>
      <w:r>
        <w:rPr>
          <w:b w:val="0"/>
          <w:spacing w:val="-2"/>
          <w:sz w:val="20"/>
        </w:rPr>
        <w:t> </w:t>
      </w:r>
      <w:r>
        <w:rPr>
          <w:b w:val="0"/>
          <w:sz w:val="20"/>
        </w:rPr>
        <w:t>Essentials</w:t>
      </w:r>
    </w:p>
    <w:p>
      <w:pPr>
        <w:pStyle w:val="ListParagraph"/>
        <w:numPr>
          <w:ilvl w:val="0"/>
          <w:numId w:val="1"/>
        </w:numPr>
        <w:tabs>
          <w:tab w:pos="1100" w:val="left" w:leader="none"/>
        </w:tabs>
        <w:spacing w:line="240" w:lineRule="exact" w:before="0" w:after="0"/>
        <w:ind w:left="1099" w:right="0" w:hanging="270"/>
        <w:jc w:val="left"/>
        <w:rPr>
          <w:b w:val="0"/>
          <w:sz w:val="20"/>
        </w:rPr>
      </w:pPr>
      <w:r>
        <w:rPr>
          <w:b w:val="0"/>
          <w:sz w:val="20"/>
        </w:rPr>
        <w:t>Service</w:t>
      </w:r>
      <w:r>
        <w:rPr>
          <w:b w:val="0"/>
          <w:spacing w:val="-1"/>
          <w:sz w:val="20"/>
        </w:rPr>
        <w:t> </w:t>
      </w:r>
      <w:r>
        <w:rPr>
          <w:b w:val="0"/>
          <w:sz w:val="20"/>
        </w:rPr>
        <w:t>Management</w:t>
      </w:r>
    </w:p>
    <w:p>
      <w:pPr>
        <w:pStyle w:val="ListParagraph"/>
        <w:numPr>
          <w:ilvl w:val="0"/>
          <w:numId w:val="1"/>
        </w:numPr>
        <w:tabs>
          <w:tab w:pos="1100" w:val="left" w:leader="none"/>
        </w:tabs>
        <w:spacing w:line="253" w:lineRule="exact" w:before="0" w:after="0"/>
        <w:ind w:left="1099" w:right="0" w:hanging="270"/>
        <w:jc w:val="left"/>
        <w:rPr>
          <w:b w:val="0"/>
          <w:sz w:val="20"/>
        </w:rPr>
      </w:pPr>
      <w:r>
        <w:rPr>
          <w:b w:val="0"/>
          <w:sz w:val="20"/>
        </w:rPr>
        <w:t>Manufacturing</w:t>
      </w:r>
    </w:p>
    <w:p>
      <w:pPr>
        <w:pStyle w:val="BodyText"/>
        <w:spacing w:before="9"/>
        <w:rPr>
          <w:b w:val="0"/>
          <w:sz w:val="17"/>
        </w:rPr>
      </w:pPr>
    </w:p>
    <w:p>
      <w:pPr>
        <w:pStyle w:val="BodyText"/>
        <w:spacing w:line="216" w:lineRule="auto" w:before="1"/>
        <w:ind w:left="566" w:right="791"/>
        <w:rPr>
          <w:b w:val="0"/>
        </w:rPr>
      </w:pPr>
      <w:r>
        <w:rPr>
          <w:b w:val="0"/>
        </w:rPr>
        <w:t>Note, you may not mix and match Essentials and Premium users. You must license Essentials or Premium users but not both.</w:t>
      </w:r>
    </w:p>
    <w:p>
      <w:pPr>
        <w:pStyle w:val="BodyText"/>
        <w:spacing w:before="1"/>
        <w:rPr>
          <w:b w:val="0"/>
          <w:sz w:val="18"/>
        </w:rPr>
      </w:pPr>
    </w:p>
    <w:p>
      <w:pPr>
        <w:pStyle w:val="BodyText"/>
        <w:spacing w:line="216" w:lineRule="auto"/>
        <w:ind w:left="566" w:right="1138"/>
        <w:rPr>
          <w:b w:val="0"/>
        </w:rPr>
      </w:pPr>
      <w:r>
        <w:rPr>
          <w:b w:val="0"/>
        </w:rPr>
        <w:t>Dynamics 365 Business Central (per user license) – This license provides users with unrestricted access to the functionality included in Dynamics 365 Business Central Team Members and Business Central.</w:t>
      </w:r>
    </w:p>
    <w:p>
      <w:pPr>
        <w:pStyle w:val="BodyText"/>
        <w:spacing w:before="2"/>
        <w:rPr>
          <w:b w:val="0"/>
          <w:sz w:val="18"/>
        </w:rPr>
      </w:pPr>
    </w:p>
    <w:p>
      <w:pPr>
        <w:pStyle w:val="BodyText"/>
        <w:spacing w:line="216" w:lineRule="auto"/>
        <w:ind w:left="566" w:right="1212"/>
        <w:jc w:val="both"/>
        <w:rPr>
          <w:b w:val="0"/>
        </w:rPr>
      </w:pPr>
      <w:r>
        <w:rPr>
          <w:b w:val="0"/>
        </w:rPr>
        <w:t>Dynamics 365 Business Central Applications include the “PowerApps for Dynamics 365 Applications” license. Dynamics 365 Business Central users can use PowerApps to access Dynamics 365 within the bounds of their Dynamics 365 Business Central Essentials or Premium license.</w:t>
      </w:r>
    </w:p>
    <w:p>
      <w:pPr>
        <w:pStyle w:val="BodyText"/>
        <w:spacing w:before="3"/>
        <w:rPr>
          <w:b w:val="0"/>
          <w:sz w:val="18"/>
        </w:rPr>
      </w:pPr>
    </w:p>
    <w:p>
      <w:pPr>
        <w:pStyle w:val="BodyText"/>
        <w:spacing w:line="216" w:lineRule="auto"/>
        <w:ind w:left="566" w:right="713"/>
        <w:rPr>
          <w:b w:val="0"/>
        </w:rPr>
      </w:pPr>
      <w:r>
        <w:rPr>
          <w:b w:val="0"/>
        </w:rPr>
        <w:t>Customers who have external accountants who wish to connect to the Dynamics 365 Business Central application can purchase one per tenant at no additional cost. External Accountant Licenses contain all the same use rights as Dynamics 365 Business Central license except for the following: Access to user set up or admin tasks and any other Dynamics 365 Business Central</w:t>
      </w:r>
      <w:r>
        <w:rPr>
          <w:b w:val="0"/>
          <w:spacing w:val="8"/>
        </w:rPr>
        <w:t> </w:t>
      </w:r>
      <w:r>
        <w:rPr>
          <w:b w:val="0"/>
        </w:rPr>
        <w:t>application.</w:t>
      </w:r>
    </w:p>
    <w:p>
      <w:pPr>
        <w:pStyle w:val="BodyText"/>
        <w:rPr>
          <w:b w:val="0"/>
        </w:rPr>
      </w:pPr>
    </w:p>
    <w:p>
      <w:pPr>
        <w:pStyle w:val="BodyText"/>
        <w:rPr>
          <w:b w:val="0"/>
        </w:rPr>
      </w:pPr>
    </w:p>
    <w:p>
      <w:pPr>
        <w:pStyle w:val="Heading1"/>
        <w:spacing w:before="238"/>
        <w:rPr>
          <w:b w:val="0"/>
        </w:rPr>
      </w:pPr>
      <w:r>
        <w:rPr>
          <w:b w:val="0"/>
        </w:rPr>
        <w:t>Default Subscription Capacities</w:t>
      </w:r>
    </w:p>
    <w:p>
      <w:pPr>
        <w:pStyle w:val="BodyText"/>
        <w:rPr>
          <w:b w:val="0"/>
        </w:rPr>
      </w:pPr>
    </w:p>
    <w:p>
      <w:pPr>
        <w:pStyle w:val="BodyText"/>
        <w:spacing w:before="2"/>
        <w:rPr>
          <w:b w:val="0"/>
          <w:sz w:val="16"/>
        </w:rPr>
      </w:pPr>
    </w:p>
    <w:tbl>
      <w:tblPr>
        <w:tblW w:w="0" w:type="auto"/>
        <w:jc w:val="left"/>
        <w:tblInd w:w="429" w:type="dxa"/>
        <w:tblBorders>
          <w:top w:val="single" w:sz="8" w:space="0" w:color="93B3D5"/>
          <w:left w:val="single" w:sz="8" w:space="0" w:color="93B3D5"/>
          <w:bottom w:val="single" w:sz="8" w:space="0" w:color="93B3D5"/>
          <w:right w:val="single" w:sz="8" w:space="0" w:color="93B3D5"/>
          <w:insideH w:val="single" w:sz="8" w:space="0" w:color="93B3D5"/>
          <w:insideV w:val="single" w:sz="8" w:space="0" w:color="93B3D5"/>
        </w:tblBorders>
        <w:tblLayout w:type="fixed"/>
        <w:tblCellMar>
          <w:top w:w="0" w:type="dxa"/>
          <w:left w:w="0" w:type="dxa"/>
          <w:bottom w:w="0" w:type="dxa"/>
          <w:right w:w="0" w:type="dxa"/>
        </w:tblCellMar>
        <w:tblLook w:val="01E0"/>
      </w:tblPr>
      <w:tblGrid>
        <w:gridCol w:w="4884"/>
        <w:gridCol w:w="4957"/>
      </w:tblGrid>
      <w:tr>
        <w:trPr>
          <w:trHeight w:val="427" w:hRule="atLeast"/>
        </w:trPr>
        <w:tc>
          <w:tcPr>
            <w:tcW w:w="4884" w:type="dxa"/>
            <w:tcBorders>
              <w:left w:val="nil"/>
            </w:tcBorders>
            <w:shd w:val="clear" w:color="auto" w:fill="DBE3EF"/>
          </w:tcPr>
          <w:p>
            <w:pPr>
              <w:pStyle w:val="TableParagraph"/>
              <w:spacing w:line="240" w:lineRule="auto" w:before="59"/>
              <w:ind w:left="276"/>
              <w:rPr>
                <w:sz w:val="22"/>
              </w:rPr>
            </w:pPr>
            <w:r>
              <w:rPr>
                <w:color w:val="4A4A4A"/>
                <w:sz w:val="22"/>
              </w:rPr>
              <w:t>Production Instance</w:t>
            </w:r>
          </w:p>
        </w:tc>
        <w:tc>
          <w:tcPr>
            <w:tcW w:w="4957" w:type="dxa"/>
            <w:tcBorders>
              <w:right w:val="nil"/>
            </w:tcBorders>
            <w:shd w:val="clear" w:color="auto" w:fill="DBE3EF"/>
          </w:tcPr>
          <w:p>
            <w:pPr>
              <w:pStyle w:val="TableParagraph"/>
              <w:spacing w:line="240" w:lineRule="auto" w:before="59"/>
              <w:ind w:left="266"/>
              <w:rPr>
                <w:sz w:val="22"/>
              </w:rPr>
            </w:pPr>
            <w:r>
              <w:rPr>
                <w:color w:val="4A4A4A"/>
                <w:sz w:val="22"/>
              </w:rPr>
              <w:t>1 Included</w:t>
            </w:r>
          </w:p>
        </w:tc>
      </w:tr>
      <w:tr>
        <w:trPr>
          <w:trHeight w:val="426" w:hRule="atLeast"/>
        </w:trPr>
        <w:tc>
          <w:tcPr>
            <w:tcW w:w="4884" w:type="dxa"/>
            <w:tcBorders>
              <w:left w:val="nil"/>
            </w:tcBorders>
          </w:tcPr>
          <w:p>
            <w:pPr>
              <w:pStyle w:val="TableParagraph"/>
              <w:spacing w:line="240" w:lineRule="auto" w:before="59"/>
              <w:ind w:left="276"/>
              <w:rPr>
                <w:sz w:val="22"/>
              </w:rPr>
            </w:pPr>
            <w:r>
              <w:rPr>
                <w:color w:val="4A4A4A"/>
                <w:sz w:val="22"/>
              </w:rPr>
              <w:t>Non-Production Instance</w:t>
            </w:r>
          </w:p>
        </w:tc>
        <w:tc>
          <w:tcPr>
            <w:tcW w:w="4957" w:type="dxa"/>
            <w:tcBorders>
              <w:right w:val="nil"/>
            </w:tcBorders>
          </w:tcPr>
          <w:p>
            <w:pPr>
              <w:pStyle w:val="TableParagraph"/>
              <w:spacing w:line="240" w:lineRule="auto" w:before="59"/>
              <w:ind w:left="266"/>
              <w:rPr>
                <w:sz w:val="22"/>
              </w:rPr>
            </w:pPr>
            <w:r>
              <w:rPr>
                <w:color w:val="4A4A4A"/>
                <w:sz w:val="22"/>
              </w:rPr>
              <w:t>None</w:t>
            </w:r>
          </w:p>
        </w:tc>
      </w:tr>
      <w:tr>
        <w:trPr>
          <w:trHeight w:val="423" w:hRule="atLeast"/>
        </w:trPr>
        <w:tc>
          <w:tcPr>
            <w:tcW w:w="4884" w:type="dxa"/>
            <w:tcBorders>
              <w:left w:val="nil"/>
            </w:tcBorders>
            <w:shd w:val="clear" w:color="auto" w:fill="DBE3EF"/>
          </w:tcPr>
          <w:p>
            <w:pPr>
              <w:pStyle w:val="TableParagraph"/>
              <w:spacing w:line="240" w:lineRule="auto" w:before="58"/>
              <w:ind w:left="276"/>
              <w:rPr>
                <w:sz w:val="22"/>
              </w:rPr>
            </w:pPr>
            <w:r>
              <w:rPr>
                <w:color w:val="4A4A4A"/>
                <w:sz w:val="22"/>
              </w:rPr>
              <w:t>File Storage</w:t>
            </w:r>
          </w:p>
        </w:tc>
        <w:tc>
          <w:tcPr>
            <w:tcW w:w="4957" w:type="dxa"/>
            <w:tcBorders>
              <w:right w:val="nil"/>
            </w:tcBorders>
            <w:shd w:val="clear" w:color="auto" w:fill="DBE3EF"/>
          </w:tcPr>
          <w:p>
            <w:pPr>
              <w:pStyle w:val="TableParagraph"/>
              <w:spacing w:line="240" w:lineRule="auto" w:before="58"/>
              <w:ind w:left="266"/>
              <w:rPr>
                <w:sz w:val="22"/>
              </w:rPr>
            </w:pPr>
            <w:r>
              <w:rPr>
                <w:color w:val="4A4A4A"/>
                <w:sz w:val="22"/>
              </w:rPr>
              <w:t>Unlimited</w:t>
            </w:r>
          </w:p>
        </w:tc>
      </w:tr>
      <w:tr>
        <w:trPr>
          <w:trHeight w:val="426" w:hRule="atLeast"/>
        </w:trPr>
        <w:tc>
          <w:tcPr>
            <w:tcW w:w="4884" w:type="dxa"/>
            <w:tcBorders>
              <w:left w:val="nil"/>
            </w:tcBorders>
          </w:tcPr>
          <w:p>
            <w:pPr>
              <w:pStyle w:val="TableParagraph"/>
              <w:spacing w:line="240" w:lineRule="auto" w:before="59"/>
              <w:ind w:left="276"/>
              <w:rPr>
                <w:sz w:val="22"/>
              </w:rPr>
            </w:pPr>
            <w:r>
              <w:rPr>
                <w:color w:val="4A4A4A"/>
                <w:sz w:val="22"/>
              </w:rPr>
              <w:t>Database Storage</w:t>
            </w:r>
          </w:p>
        </w:tc>
        <w:tc>
          <w:tcPr>
            <w:tcW w:w="4957" w:type="dxa"/>
            <w:tcBorders>
              <w:right w:val="nil"/>
            </w:tcBorders>
          </w:tcPr>
          <w:p>
            <w:pPr>
              <w:pStyle w:val="TableParagraph"/>
              <w:spacing w:line="240" w:lineRule="auto" w:before="59"/>
              <w:ind w:left="266"/>
              <w:rPr>
                <w:sz w:val="22"/>
              </w:rPr>
            </w:pPr>
            <w:r>
              <w:rPr>
                <w:color w:val="4A4A4A"/>
                <w:sz w:val="22"/>
              </w:rPr>
              <w:t>Unlimited</w:t>
            </w:r>
          </w:p>
        </w:tc>
      </w:tr>
      <w:tr>
        <w:trPr>
          <w:trHeight w:val="427" w:hRule="atLeast"/>
        </w:trPr>
        <w:tc>
          <w:tcPr>
            <w:tcW w:w="4884" w:type="dxa"/>
            <w:tcBorders>
              <w:left w:val="nil"/>
            </w:tcBorders>
            <w:shd w:val="clear" w:color="auto" w:fill="DBE3EF"/>
          </w:tcPr>
          <w:p>
            <w:pPr>
              <w:pStyle w:val="TableParagraph"/>
              <w:spacing w:line="240" w:lineRule="auto" w:before="59"/>
              <w:ind w:left="276"/>
              <w:rPr>
                <w:sz w:val="22"/>
              </w:rPr>
            </w:pPr>
            <w:r>
              <w:rPr>
                <w:color w:val="4A4A4A"/>
                <w:sz w:val="22"/>
              </w:rPr>
              <w:t>External Accountant Licenses</w:t>
            </w:r>
          </w:p>
        </w:tc>
        <w:tc>
          <w:tcPr>
            <w:tcW w:w="4957" w:type="dxa"/>
            <w:tcBorders>
              <w:right w:val="nil"/>
            </w:tcBorders>
            <w:shd w:val="clear" w:color="auto" w:fill="DBE3EF"/>
          </w:tcPr>
          <w:p>
            <w:pPr>
              <w:pStyle w:val="TableParagraph"/>
              <w:spacing w:line="240" w:lineRule="auto" w:before="59"/>
              <w:ind w:left="266"/>
              <w:rPr>
                <w:sz w:val="22"/>
              </w:rPr>
            </w:pPr>
            <w:r>
              <w:rPr>
                <w:color w:val="4A4A4A"/>
                <w:sz w:val="22"/>
              </w:rPr>
              <w:t>1 Included</w:t>
            </w:r>
          </w:p>
        </w:tc>
      </w:tr>
      <w:tr>
        <w:trPr>
          <w:trHeight w:val="426" w:hRule="atLeast"/>
        </w:trPr>
        <w:tc>
          <w:tcPr>
            <w:tcW w:w="4884" w:type="dxa"/>
            <w:tcBorders>
              <w:left w:val="nil"/>
            </w:tcBorders>
          </w:tcPr>
          <w:p>
            <w:pPr>
              <w:pStyle w:val="TableParagraph"/>
              <w:spacing w:line="240" w:lineRule="auto" w:before="59"/>
              <w:ind w:left="276"/>
              <w:rPr>
                <w:sz w:val="22"/>
              </w:rPr>
            </w:pPr>
            <w:r>
              <w:rPr>
                <w:color w:val="4A4A4A"/>
                <w:sz w:val="22"/>
              </w:rPr>
              <w:t>Companies</w:t>
            </w:r>
          </w:p>
        </w:tc>
        <w:tc>
          <w:tcPr>
            <w:tcW w:w="4957" w:type="dxa"/>
            <w:tcBorders>
              <w:right w:val="nil"/>
            </w:tcBorders>
          </w:tcPr>
          <w:p>
            <w:pPr>
              <w:pStyle w:val="TableParagraph"/>
              <w:spacing w:line="240" w:lineRule="auto" w:before="59"/>
              <w:ind w:left="266"/>
              <w:rPr>
                <w:sz w:val="22"/>
              </w:rPr>
            </w:pPr>
            <w:r>
              <w:rPr>
                <w:color w:val="4A4A4A"/>
                <w:sz w:val="22"/>
              </w:rPr>
              <w:t>Unlimited</w:t>
            </w:r>
          </w:p>
        </w:tc>
      </w:tr>
      <w:tr>
        <w:trPr>
          <w:trHeight w:val="427" w:hRule="atLeast"/>
        </w:trPr>
        <w:tc>
          <w:tcPr>
            <w:tcW w:w="4884" w:type="dxa"/>
            <w:tcBorders>
              <w:left w:val="nil"/>
            </w:tcBorders>
            <w:shd w:val="clear" w:color="auto" w:fill="DBE3EF"/>
          </w:tcPr>
          <w:p>
            <w:pPr>
              <w:pStyle w:val="TableParagraph"/>
              <w:spacing w:line="240" w:lineRule="auto" w:before="60"/>
              <w:ind w:left="276"/>
              <w:rPr>
                <w:sz w:val="22"/>
              </w:rPr>
            </w:pPr>
            <w:r>
              <w:rPr>
                <w:color w:val="4A4A4A"/>
                <w:sz w:val="22"/>
              </w:rPr>
              <w:t>Cortana Intelligence</w:t>
            </w:r>
          </w:p>
        </w:tc>
        <w:tc>
          <w:tcPr>
            <w:tcW w:w="4957" w:type="dxa"/>
            <w:tcBorders>
              <w:right w:val="nil"/>
            </w:tcBorders>
            <w:shd w:val="clear" w:color="auto" w:fill="DBE3EF"/>
          </w:tcPr>
          <w:p>
            <w:pPr>
              <w:pStyle w:val="TableParagraph"/>
              <w:spacing w:line="240" w:lineRule="auto" w:before="60"/>
              <w:ind w:left="266"/>
              <w:rPr>
                <w:sz w:val="22"/>
              </w:rPr>
            </w:pPr>
            <w:r>
              <w:rPr>
                <w:color w:val="4A4A4A"/>
                <w:sz w:val="22"/>
              </w:rPr>
              <w:t>1800 seconds per month/tenant</w:t>
            </w:r>
          </w:p>
        </w:tc>
      </w:tr>
    </w:tbl>
    <w:p>
      <w:pPr>
        <w:spacing w:after="0" w:line="240" w:lineRule="auto"/>
        <w:rPr>
          <w:sz w:val="22"/>
        </w:rPr>
        <w:sectPr>
          <w:pgSz w:w="10800" w:h="15600"/>
          <w:pgMar w:header="0" w:footer="0" w:top="660" w:bottom="280" w:left="0" w:right="0"/>
        </w:sectPr>
      </w:pPr>
    </w:p>
    <w:p>
      <w:pPr>
        <w:pStyle w:val="BodyText"/>
        <w:rPr>
          <w:b w:val="0"/>
        </w:rPr>
      </w:pPr>
    </w:p>
    <w:p>
      <w:pPr>
        <w:spacing w:before="99"/>
        <w:ind w:left="566" w:right="0" w:firstLine="0"/>
        <w:jc w:val="left"/>
        <w:rPr>
          <w:b w:val="0"/>
          <w:sz w:val="32"/>
        </w:rPr>
      </w:pPr>
      <w:r>
        <w:rPr>
          <w:b w:val="0"/>
          <w:sz w:val="32"/>
        </w:rPr>
        <w:t>Other Product Licenses</w:t>
      </w:r>
    </w:p>
    <w:p>
      <w:pPr>
        <w:pStyle w:val="BodyText"/>
        <w:spacing w:line="216" w:lineRule="auto" w:before="265"/>
        <w:ind w:left="566" w:right="671"/>
        <w:rPr>
          <w:b w:val="0"/>
        </w:rPr>
      </w:pPr>
      <w:r>
        <w:rPr>
          <w:b w:val="0"/>
        </w:rPr>
        <w:t>Licenses for Microsoft Dynamics 365 Business Central service do not include licenses for other products and services that may be necessary to light up integrated scenarios or extend functionality; product licensing rights for these must be established separately. The following resources can help you to determine the required additional licenses:</w:t>
      </w:r>
    </w:p>
    <w:p>
      <w:pPr>
        <w:pStyle w:val="BodyText"/>
        <w:spacing w:before="6"/>
        <w:rPr>
          <w:b w:val="0"/>
          <w:sz w:val="19"/>
        </w:rPr>
      </w:pPr>
    </w:p>
    <w:p>
      <w:pPr>
        <w:pStyle w:val="Heading3"/>
        <w:spacing w:before="101"/>
        <w:rPr>
          <w:b w:val="0"/>
          <w:u w:val="none"/>
        </w:rPr>
      </w:pPr>
      <w:r>
        <w:rPr>
          <w:b w:val="0"/>
          <w:color w:val="0075AB"/>
          <w:u w:val="single" w:color="0075AB"/>
        </w:rPr>
        <w:t>Microsoft Power BI in Dynamics 365</w:t>
      </w:r>
    </w:p>
    <w:p>
      <w:pPr>
        <w:pStyle w:val="BodyText"/>
        <w:spacing w:line="216" w:lineRule="auto" w:before="228"/>
        <w:ind w:left="566" w:right="669"/>
        <w:rPr>
          <w:b w:val="0"/>
        </w:rPr>
      </w:pPr>
      <w:r>
        <w:rPr>
          <w:b w:val="0"/>
        </w:rPr>
        <w:t>Dynamics 365 Business Central users are not provided with any standalone or general-purpose Power BI license or use rights. Customers who require Power BI Pro will need to license and pay for it separately.</w:t>
      </w:r>
    </w:p>
    <w:p>
      <w:pPr>
        <w:pStyle w:val="BodyText"/>
        <w:spacing w:line="216" w:lineRule="auto" w:before="2"/>
        <w:ind w:left="566" w:right="1186"/>
        <w:rPr>
          <w:b w:val="0"/>
        </w:rPr>
      </w:pPr>
      <w:r>
        <w:rPr>
          <w:b w:val="0"/>
        </w:rPr>
        <w:t>Dynamics 365 Business Central application subscriptions include an option to embed Power BI content as a product feature but require users to subscribe to Power BI (free user or Power BI Pro depending on content) separately to configure access to this content.</w:t>
      </w:r>
    </w:p>
    <w:p>
      <w:pPr>
        <w:pStyle w:val="Heading3"/>
        <w:spacing w:before="218"/>
        <w:rPr>
          <w:b w:val="0"/>
          <w:u w:val="none"/>
        </w:rPr>
      </w:pPr>
      <w:r>
        <w:rPr>
          <w:b w:val="0"/>
          <w:color w:val="0075AB"/>
          <w:u w:val="single" w:color="0075AB"/>
        </w:rPr>
        <w:t>Cortana Intelligence</w:t>
      </w:r>
    </w:p>
    <w:p>
      <w:pPr>
        <w:pStyle w:val="BodyText"/>
        <w:spacing w:line="216" w:lineRule="auto" w:before="229"/>
        <w:ind w:left="566" w:right="1138"/>
        <w:rPr>
          <w:b w:val="0"/>
        </w:rPr>
      </w:pPr>
      <w:r>
        <w:rPr>
          <w:b w:val="0"/>
        </w:rPr>
        <w:t>Customers who wish to expand beyond the default subscription capacity included in Dynamics 365 Business Central will need to have a separate Azure subscription.</w:t>
      </w:r>
    </w:p>
    <w:p>
      <w:pPr>
        <w:pStyle w:val="Heading3"/>
        <w:spacing w:before="211"/>
        <w:rPr>
          <w:b w:val="0"/>
          <w:u w:val="none"/>
        </w:rPr>
      </w:pPr>
      <w:r>
        <w:rPr>
          <w:b w:val="0"/>
          <w:color w:val="0075AB"/>
          <w:u w:val="single" w:color="0075AB"/>
        </w:rPr>
        <w:t>Microsoft PowerApps</w:t>
      </w:r>
    </w:p>
    <w:p>
      <w:pPr>
        <w:pStyle w:val="BodyText"/>
        <w:spacing w:line="253" w:lineRule="exact" w:before="208"/>
        <w:ind w:left="566"/>
        <w:rPr>
          <w:b w:val="0"/>
        </w:rPr>
      </w:pPr>
      <w:r>
        <w:rPr>
          <w:b w:val="0"/>
        </w:rPr>
        <w:t>Customers who wish to go beyond the PowerApps functionality included in Dynamics 365 Business Central can</w:t>
      </w:r>
    </w:p>
    <w:p>
      <w:pPr>
        <w:pStyle w:val="BodyText"/>
        <w:spacing w:line="253" w:lineRule="exact"/>
        <w:ind w:left="566"/>
        <w:rPr>
          <w:b w:val="0"/>
        </w:rPr>
      </w:pPr>
      <w:r>
        <w:rPr>
          <w:b w:val="0"/>
        </w:rPr>
        <w:t>also purchase PowerApps P1 or P2 on a standalone basis.</w:t>
      </w:r>
    </w:p>
    <w:p>
      <w:pPr>
        <w:pStyle w:val="BodyText"/>
        <w:spacing w:before="9"/>
        <w:rPr>
          <w:b w:val="0"/>
          <w:sz w:val="17"/>
        </w:rPr>
      </w:pPr>
    </w:p>
    <w:p>
      <w:pPr>
        <w:pStyle w:val="BodyText"/>
        <w:spacing w:line="216" w:lineRule="auto" w:before="1"/>
        <w:ind w:left="566" w:right="612"/>
        <w:rPr>
          <w:b w:val="0"/>
        </w:rPr>
      </w:pPr>
      <w:r>
        <w:rPr>
          <w:b w:val="0"/>
        </w:rPr>
        <w:t>PowerApps and Microsoft Flow capabilities are included in Dynamics 365 Business Central and Dynamics 365 Business Central Team Members subscriptions so that users can create, modify and use mobile apps based on Dynamics 365 data.</w:t>
      </w:r>
    </w:p>
    <w:p>
      <w:pPr>
        <w:pStyle w:val="BodyText"/>
        <w:spacing w:before="220"/>
        <w:ind w:left="566"/>
        <w:rPr>
          <w:b w:val="0"/>
        </w:rPr>
      </w:pPr>
      <w:r>
        <w:rPr>
          <w:b w:val="0"/>
        </w:rPr>
        <w:t>Dynamics 365’s standalone PowerApps offering is P2.</w:t>
      </w:r>
    </w:p>
    <w:p>
      <w:pPr>
        <w:pStyle w:val="BodyText"/>
        <w:spacing w:before="9"/>
        <w:rPr>
          <w:b w:val="0"/>
          <w:sz w:val="17"/>
        </w:rPr>
      </w:pPr>
    </w:p>
    <w:p>
      <w:pPr>
        <w:pStyle w:val="ListParagraph"/>
        <w:numPr>
          <w:ilvl w:val="0"/>
          <w:numId w:val="1"/>
        </w:numPr>
        <w:tabs>
          <w:tab w:pos="1100" w:val="left" w:leader="none"/>
        </w:tabs>
        <w:spacing w:line="216" w:lineRule="auto" w:before="0" w:after="0"/>
        <w:ind w:left="1099" w:right="853" w:hanging="269"/>
        <w:jc w:val="left"/>
        <w:rPr>
          <w:b w:val="0"/>
          <w:sz w:val="20"/>
        </w:rPr>
      </w:pPr>
      <w:r>
        <w:rPr>
          <w:b w:val="0"/>
          <w:sz w:val="20"/>
        </w:rPr>
        <w:t>Microsoft PowerApps is a service for building and using custom business applications that connect to your data and works across the web and mobile - without the time and expense of custom software development. Learn more at the PowerApps service</w:t>
      </w:r>
      <w:r>
        <w:rPr>
          <w:b w:val="0"/>
          <w:spacing w:val="8"/>
          <w:sz w:val="20"/>
        </w:rPr>
        <w:t> </w:t>
      </w:r>
      <w:r>
        <w:rPr>
          <w:b w:val="0"/>
          <w:sz w:val="20"/>
        </w:rPr>
        <w:t>page.</w:t>
      </w:r>
    </w:p>
    <w:p>
      <w:pPr>
        <w:pStyle w:val="BodyText"/>
        <w:spacing w:before="2"/>
        <w:rPr>
          <w:b w:val="0"/>
          <w:sz w:val="18"/>
        </w:rPr>
      </w:pPr>
    </w:p>
    <w:p>
      <w:pPr>
        <w:pStyle w:val="ListParagraph"/>
        <w:numPr>
          <w:ilvl w:val="0"/>
          <w:numId w:val="1"/>
        </w:numPr>
        <w:tabs>
          <w:tab w:pos="1100" w:val="left" w:leader="none"/>
        </w:tabs>
        <w:spacing w:line="216" w:lineRule="auto" w:before="1" w:after="0"/>
        <w:ind w:left="1099" w:right="1002" w:hanging="269"/>
        <w:jc w:val="both"/>
        <w:rPr>
          <w:b w:val="0"/>
          <w:sz w:val="20"/>
        </w:rPr>
      </w:pPr>
      <w:r>
        <w:rPr>
          <w:b w:val="0"/>
          <w:sz w:val="20"/>
        </w:rPr>
        <w:t>PowerApps licenses always include Microsoft Flow capabilities. Microsoft Flow is a service for automating workflow across the growing number of applications and SaaS services that business users rely on. Learn more at the Microsoft Flow service page.</w:t>
      </w:r>
    </w:p>
    <w:p>
      <w:pPr>
        <w:pStyle w:val="BodyText"/>
        <w:spacing w:before="2"/>
        <w:rPr>
          <w:b w:val="0"/>
          <w:sz w:val="18"/>
        </w:rPr>
      </w:pPr>
    </w:p>
    <w:p>
      <w:pPr>
        <w:pStyle w:val="BodyText"/>
        <w:spacing w:line="216" w:lineRule="auto"/>
        <w:ind w:left="566" w:right="791"/>
        <w:rPr>
          <w:b w:val="0"/>
        </w:rPr>
      </w:pPr>
      <w:r>
        <w:rPr>
          <w:b w:val="0"/>
        </w:rPr>
        <w:t>PowerApps users who access Microsoft Dynamics 365 Business Central indirectly through a PowerApps must properly be licensed for Dynamics 365 Business Central service. See the PowerApps licensing guide for additional information on PowerApps and Flow licensing.</w:t>
      </w:r>
    </w:p>
    <w:p>
      <w:pPr>
        <w:pStyle w:val="BodyText"/>
        <w:spacing w:before="9"/>
        <w:rPr>
          <w:b w:val="0"/>
          <w:sz w:val="37"/>
        </w:rPr>
      </w:pPr>
    </w:p>
    <w:p>
      <w:pPr>
        <w:pStyle w:val="Heading1"/>
        <w:rPr>
          <w:b w:val="0"/>
        </w:rPr>
      </w:pPr>
      <w:r>
        <w:rPr>
          <w:b w:val="0"/>
        </w:rPr>
        <w:t>Support</w:t>
      </w:r>
    </w:p>
    <w:p>
      <w:pPr>
        <w:pStyle w:val="BodyText"/>
        <w:spacing w:line="253" w:lineRule="exact" w:before="243"/>
        <w:ind w:left="566"/>
        <w:rPr>
          <w:b w:val="0"/>
        </w:rPr>
      </w:pPr>
      <w:r>
        <w:rPr>
          <w:b w:val="0"/>
        </w:rPr>
        <w:t>The Microsoft Cloud Solution Provider program enables partners to manage their customer’s success. Support for</w:t>
      </w:r>
    </w:p>
    <w:p>
      <w:pPr>
        <w:pStyle w:val="BodyText"/>
        <w:spacing w:line="253" w:lineRule="exact"/>
        <w:ind w:left="566"/>
        <w:rPr>
          <w:b w:val="0"/>
        </w:rPr>
      </w:pPr>
      <w:r>
        <w:rPr>
          <w:b w:val="0"/>
        </w:rPr>
        <w:t>Dynamics 365 Business Central is solely through the Microsoft Cloud Solution Provider partners.</w:t>
      </w:r>
    </w:p>
    <w:p>
      <w:pPr>
        <w:spacing w:after="0" w:line="253" w:lineRule="exact"/>
        <w:sectPr>
          <w:pgSz w:w="10800" w:h="15600"/>
          <w:pgMar w:header="0" w:footer="0" w:top="660" w:bottom="280" w:left="0" w:right="0"/>
        </w:sectPr>
      </w:pPr>
    </w:p>
    <w:p>
      <w:pPr>
        <w:pStyle w:val="BodyText"/>
        <w:rPr>
          <w:b w:val="0"/>
        </w:rPr>
      </w:pPr>
    </w:p>
    <w:p>
      <w:pPr>
        <w:pStyle w:val="Heading1"/>
        <w:spacing w:before="99"/>
        <w:rPr>
          <w:b w:val="0"/>
        </w:rPr>
      </w:pPr>
      <w:r>
        <w:rPr>
          <w:b w:val="0"/>
        </w:rPr>
        <w:t>Subscription Licensing Requirements</w:t>
      </w:r>
    </w:p>
    <w:p>
      <w:pPr>
        <w:pStyle w:val="BodyText"/>
        <w:spacing w:before="11"/>
        <w:rPr>
          <w:b w:val="0"/>
          <w:sz w:val="26"/>
        </w:rPr>
      </w:pPr>
    </w:p>
    <w:p>
      <w:pPr>
        <w:pStyle w:val="Heading3"/>
        <w:rPr>
          <w:b w:val="0"/>
          <w:u w:val="none"/>
        </w:rPr>
      </w:pPr>
      <w:r>
        <w:rPr>
          <w:b w:val="0"/>
          <w:color w:val="0075AB"/>
          <w:u w:val="single" w:color="0075AB"/>
        </w:rPr>
        <w:t>Licensing Requirements for Internal Users</w:t>
      </w:r>
    </w:p>
    <w:p>
      <w:pPr>
        <w:pStyle w:val="BodyText"/>
        <w:spacing w:line="216" w:lineRule="auto" w:before="229"/>
        <w:ind w:left="566" w:right="411"/>
        <w:rPr>
          <w:b w:val="0"/>
        </w:rPr>
      </w:pPr>
      <w:r>
        <w:rPr>
          <w:b w:val="0"/>
        </w:rPr>
        <w:t>You may license access to Microsoft Dynamics 365 Business Central by purchasing a Subscription License (SL) for every internal user who directly or indirectly accesses the service.</w:t>
      </w:r>
    </w:p>
    <w:p>
      <w:pPr>
        <w:pStyle w:val="BodyText"/>
        <w:spacing w:before="220"/>
        <w:ind w:left="566"/>
        <w:rPr>
          <w:b w:val="0"/>
        </w:rPr>
      </w:pPr>
      <w:r>
        <w:rPr>
          <w:b w:val="0"/>
        </w:rPr>
        <w:t>Dynamics 365 Business Central has one type of SL:</w:t>
      </w:r>
    </w:p>
    <w:p>
      <w:pPr>
        <w:pStyle w:val="ListParagraph"/>
        <w:numPr>
          <w:ilvl w:val="0"/>
          <w:numId w:val="2"/>
        </w:numPr>
        <w:tabs>
          <w:tab w:pos="837" w:val="left" w:leader="none"/>
          <w:tab w:pos="839" w:val="left" w:leader="none"/>
        </w:tabs>
        <w:spacing w:line="253" w:lineRule="exact" w:before="214" w:after="0"/>
        <w:ind w:left="838" w:right="0" w:hanging="273"/>
        <w:jc w:val="left"/>
        <w:rPr>
          <w:b w:val="0"/>
          <w:sz w:val="20"/>
        </w:rPr>
      </w:pPr>
      <w:r>
        <w:rPr>
          <w:b w:val="0"/>
          <w:sz w:val="20"/>
        </w:rPr>
        <w:t>User SLs are assigned on a “named user” basis, meaning each user requires a separate User SL; User</w:t>
      </w:r>
      <w:r>
        <w:rPr>
          <w:b w:val="0"/>
          <w:spacing w:val="4"/>
          <w:sz w:val="20"/>
        </w:rPr>
        <w:t> </w:t>
      </w:r>
      <w:r>
        <w:rPr>
          <w:b w:val="0"/>
          <w:sz w:val="20"/>
        </w:rPr>
        <w:t>SLs</w:t>
      </w:r>
    </w:p>
    <w:p>
      <w:pPr>
        <w:pStyle w:val="BodyText"/>
        <w:spacing w:line="253" w:lineRule="exact"/>
        <w:ind w:left="838"/>
        <w:rPr>
          <w:b w:val="0"/>
        </w:rPr>
      </w:pPr>
      <w:r>
        <w:rPr>
          <w:b w:val="0"/>
        </w:rPr>
        <w:t>cannot be shared but an individual with a User SL may access the service through multiple devices.</w:t>
      </w:r>
    </w:p>
    <w:p>
      <w:pPr>
        <w:pStyle w:val="BodyText"/>
        <w:spacing w:before="10"/>
        <w:rPr>
          <w:b w:val="0"/>
          <w:sz w:val="17"/>
        </w:rPr>
      </w:pPr>
    </w:p>
    <w:p>
      <w:pPr>
        <w:pStyle w:val="BodyText"/>
        <w:spacing w:line="216" w:lineRule="auto"/>
        <w:ind w:left="566" w:right="671"/>
        <w:rPr>
          <w:b w:val="0"/>
        </w:rPr>
      </w:pPr>
      <w:r>
        <w:rPr>
          <w:b w:val="0"/>
        </w:rPr>
        <w:t>The User SL grants users non-perpetual rights (with no buy-out rights) to the use of the Dynamics 365 Business Central service. As long as you are current on your subscription payments and adhere to the Product Terms and the Online Service Terms, you will have access to the most up-to-date version of your Microsoft Dynamics 365 Business Central.</w:t>
      </w:r>
    </w:p>
    <w:p>
      <w:pPr>
        <w:pStyle w:val="BodyText"/>
        <w:spacing w:before="7"/>
        <w:rPr>
          <w:b w:val="0"/>
          <w:sz w:val="28"/>
        </w:rPr>
      </w:pPr>
    </w:p>
    <w:p>
      <w:pPr>
        <w:pStyle w:val="Heading3"/>
        <w:spacing w:before="1"/>
        <w:rPr>
          <w:b w:val="0"/>
          <w:u w:val="none"/>
        </w:rPr>
      </w:pPr>
      <w:r>
        <w:rPr>
          <w:b w:val="0"/>
          <w:color w:val="0075AB"/>
          <w:u w:val="single" w:color="0075AB"/>
        </w:rPr>
        <w:t>Licensing Requirements for External Users</w:t>
      </w:r>
    </w:p>
    <w:p>
      <w:pPr>
        <w:pStyle w:val="BodyText"/>
        <w:spacing w:line="253" w:lineRule="exact" w:before="207"/>
        <w:ind w:left="566"/>
        <w:rPr>
          <w:b w:val="0"/>
        </w:rPr>
      </w:pPr>
      <w:r>
        <w:rPr>
          <w:b w:val="0"/>
        </w:rPr>
        <w:t>External users are end customers and third-party users of the organization or its affiliates and do not require SLs</w:t>
      </w:r>
    </w:p>
    <w:p>
      <w:pPr>
        <w:pStyle w:val="BodyText"/>
        <w:spacing w:line="253" w:lineRule="exact"/>
        <w:ind w:left="566"/>
        <w:rPr>
          <w:b w:val="0"/>
        </w:rPr>
      </w:pPr>
      <w:r>
        <w:rPr>
          <w:b w:val="0"/>
        </w:rPr>
        <w:t>to access Microsoft Dynamics 365. External user access is included with the organization’s internal user SLs.</w:t>
      </w:r>
    </w:p>
    <w:p>
      <w:pPr>
        <w:pStyle w:val="BodyText"/>
        <w:spacing w:before="10"/>
        <w:rPr>
          <w:b w:val="0"/>
          <w:sz w:val="17"/>
        </w:rPr>
      </w:pPr>
    </w:p>
    <w:p>
      <w:pPr>
        <w:pStyle w:val="BodyText"/>
        <w:spacing w:line="216" w:lineRule="auto"/>
        <w:ind w:left="566" w:right="791"/>
        <w:rPr>
          <w:b w:val="0"/>
        </w:rPr>
      </w:pPr>
      <w:r>
        <w:rPr>
          <w:b w:val="0"/>
        </w:rPr>
        <w:t>External users cannot use any clients provided by the Microsoft Dynamics 365 Business Central Application Programming Interface (API), such as the Windows client, the Web client, the Windows, the iPad or iPhone app, or the Android application.</w:t>
      </w:r>
    </w:p>
    <w:p>
      <w:pPr>
        <w:pStyle w:val="BodyText"/>
        <w:spacing w:before="3"/>
        <w:rPr>
          <w:b w:val="0"/>
          <w:sz w:val="18"/>
        </w:rPr>
      </w:pPr>
    </w:p>
    <w:p>
      <w:pPr>
        <w:pStyle w:val="BodyText"/>
        <w:spacing w:line="216" w:lineRule="auto"/>
        <w:ind w:left="566" w:right="791"/>
        <w:rPr>
          <w:b w:val="0"/>
        </w:rPr>
      </w:pPr>
      <w:r>
        <w:rPr>
          <w:b w:val="0"/>
        </w:rPr>
        <w:t>In addition, external users include off-site vendors not on an employee-like relationship with the organization or its affiliates (e.g. IT help desk support vendors serving multiple customer organizations).</w:t>
      </w:r>
    </w:p>
    <w:p>
      <w:pPr>
        <w:pStyle w:val="BodyText"/>
        <w:spacing w:before="1"/>
        <w:rPr>
          <w:b w:val="0"/>
          <w:sz w:val="18"/>
        </w:rPr>
      </w:pPr>
    </w:p>
    <w:p>
      <w:pPr>
        <w:pStyle w:val="BodyText"/>
        <w:spacing w:line="216" w:lineRule="auto"/>
        <w:ind w:left="566" w:right="826"/>
        <w:rPr>
          <w:b w:val="0"/>
        </w:rPr>
      </w:pPr>
      <w:r>
        <w:rPr>
          <w:b w:val="0"/>
        </w:rPr>
        <w:t>However, external user access does not extend to the customer or the customer’s affiliate’s contractors, vendors, or agents providing business processes on the customer’s behalf or using Microsoft Dynamics 365 to manage any portions of their business. In this sense, the customer may not use Microsoft Dynamics 365 to provide business process outsourcing services to its clients.</w:t>
      </w:r>
    </w:p>
    <w:p>
      <w:pPr>
        <w:pStyle w:val="BodyText"/>
        <w:rPr>
          <w:b w:val="0"/>
        </w:rPr>
      </w:pPr>
    </w:p>
    <w:p>
      <w:pPr>
        <w:pStyle w:val="BodyText"/>
        <w:spacing w:before="3"/>
        <w:rPr>
          <w:b w:val="0"/>
          <w:sz w:val="22"/>
        </w:rPr>
      </w:pPr>
      <w:r>
        <w:rPr/>
        <w:drawing>
          <wp:anchor distT="0" distB="0" distL="0" distR="0" allowOverlap="1" layoutInCell="1" locked="0" behindDoc="0" simplePos="0" relativeHeight="15">
            <wp:simplePos x="0" y="0"/>
            <wp:positionH relativeFrom="page">
              <wp:posOffset>519683</wp:posOffset>
            </wp:positionH>
            <wp:positionV relativeFrom="paragraph">
              <wp:posOffset>212694</wp:posOffset>
            </wp:positionV>
            <wp:extent cx="5763728" cy="2869787"/>
            <wp:effectExtent l="0" t="0" r="0" b="0"/>
            <wp:wrapTopAndBottom/>
            <wp:docPr id="3" name="image21.jpeg"/>
            <wp:cNvGraphicFramePr>
              <a:graphicFrameLocks noChangeAspect="1"/>
            </wp:cNvGraphicFramePr>
            <a:graphic>
              <a:graphicData uri="http://schemas.openxmlformats.org/drawingml/2006/picture">
                <pic:pic>
                  <pic:nvPicPr>
                    <pic:cNvPr id="4" name="image21.jpeg"/>
                    <pic:cNvPicPr/>
                  </pic:nvPicPr>
                  <pic:blipFill>
                    <a:blip r:embed="rId31" cstate="print"/>
                    <a:stretch>
                      <a:fillRect/>
                    </a:stretch>
                  </pic:blipFill>
                  <pic:spPr>
                    <a:xfrm>
                      <a:off x="0" y="0"/>
                      <a:ext cx="5763728" cy="2869787"/>
                    </a:xfrm>
                    <a:prstGeom prst="rect">
                      <a:avLst/>
                    </a:prstGeom>
                  </pic:spPr>
                </pic:pic>
              </a:graphicData>
            </a:graphic>
          </wp:anchor>
        </w:drawing>
      </w:r>
    </w:p>
    <w:p>
      <w:pPr>
        <w:spacing w:after="0"/>
        <w:rPr>
          <w:sz w:val="22"/>
        </w:rPr>
        <w:sectPr>
          <w:pgSz w:w="10800" w:h="15600"/>
          <w:pgMar w:header="0" w:footer="0" w:top="660" w:bottom="280" w:left="0" w:right="0"/>
        </w:sectPr>
      </w:pPr>
    </w:p>
    <w:p>
      <w:pPr>
        <w:pStyle w:val="BodyText"/>
        <w:spacing w:before="13"/>
        <w:rPr>
          <w:b w:val="0"/>
          <w:sz w:val="26"/>
        </w:rPr>
      </w:pPr>
    </w:p>
    <w:p>
      <w:pPr>
        <w:pStyle w:val="Heading3"/>
        <w:rPr>
          <w:b w:val="0"/>
          <w:u w:val="none"/>
        </w:rPr>
      </w:pPr>
      <w:r>
        <w:rPr>
          <w:b w:val="0"/>
          <w:color w:val="0075AB"/>
          <w:u w:val="single" w:color="0075AB"/>
        </w:rPr>
        <w:t>Multiplexing</w:t>
      </w:r>
    </w:p>
    <w:p>
      <w:pPr>
        <w:pStyle w:val="BodyText"/>
        <w:spacing w:line="216" w:lineRule="auto" w:before="229"/>
        <w:ind w:left="566" w:right="612"/>
        <w:rPr>
          <w:b w:val="0"/>
        </w:rPr>
      </w:pPr>
      <w:r>
        <w:rPr>
          <w:b w:val="0"/>
        </w:rPr>
        <w:t>Multiplexing refers to the use of hardware or software that a customer uses to pool connections, reroute information, reduce the number of devices or users that directly access or use Microsoft Dynamics 365 service.</w:t>
      </w:r>
    </w:p>
    <w:p>
      <w:pPr>
        <w:pStyle w:val="BodyText"/>
        <w:spacing w:before="1"/>
        <w:rPr>
          <w:b w:val="0"/>
          <w:sz w:val="18"/>
        </w:rPr>
      </w:pPr>
    </w:p>
    <w:p>
      <w:pPr>
        <w:pStyle w:val="BodyText"/>
        <w:spacing w:line="216" w:lineRule="auto" w:before="1"/>
        <w:ind w:left="566" w:right="671"/>
        <w:rPr>
          <w:b w:val="0"/>
        </w:rPr>
      </w:pPr>
      <w:r>
        <w:rPr>
          <w:b w:val="0"/>
        </w:rPr>
        <w:t>Multiplexing does NOT reduce the number of SLs of any type required to access the Microsoft Dynamics 365 service. Any user or device that accesses Microsoft Dynamics 365 —whether directly or indirectly—must be properly licensed.</w:t>
      </w:r>
    </w:p>
    <w:p>
      <w:pPr>
        <w:pStyle w:val="BodyText"/>
        <w:spacing w:before="2"/>
        <w:rPr>
          <w:b w:val="0"/>
          <w:sz w:val="18"/>
        </w:rPr>
      </w:pPr>
    </w:p>
    <w:p>
      <w:pPr>
        <w:pStyle w:val="BodyText"/>
        <w:spacing w:line="216" w:lineRule="auto" w:before="1"/>
        <w:ind w:left="566" w:right="1146"/>
        <w:rPr>
          <w:b w:val="0"/>
        </w:rPr>
      </w:pPr>
      <w:r>
        <w:rPr>
          <w:b w:val="0"/>
        </w:rPr>
        <w:t>Microsoft Dynamics 365 SLs are required for users or devices that directly input, query, or view data from the Microsoft Dynamics 365 service.</w:t>
      </w:r>
    </w:p>
    <w:p>
      <w:pPr>
        <w:pStyle w:val="BodyText"/>
        <w:spacing w:before="1"/>
        <w:rPr>
          <w:b w:val="0"/>
          <w:sz w:val="18"/>
        </w:rPr>
      </w:pPr>
    </w:p>
    <w:p>
      <w:pPr>
        <w:pStyle w:val="BodyText"/>
        <w:spacing w:line="216" w:lineRule="auto"/>
        <w:ind w:left="566" w:right="722"/>
        <w:rPr>
          <w:b w:val="0"/>
        </w:rPr>
      </w:pPr>
      <w:r>
        <w:rPr>
          <w:b w:val="0"/>
        </w:rPr>
        <w:t>Similarity, Microsoft Dynamics 365 SLs are required for users or devices that input data into, query, or view data from Microsoft Dynamics 365 through a pooling device. Pooled connections use a non-interactive user account in Dynamics 365 that can access the system but only via the web service layer.</w:t>
      </w:r>
    </w:p>
    <w:p>
      <w:pPr>
        <w:pStyle w:val="BodyText"/>
        <w:spacing w:before="2"/>
        <w:rPr>
          <w:b w:val="0"/>
          <w:sz w:val="18"/>
        </w:rPr>
      </w:pPr>
    </w:p>
    <w:p>
      <w:pPr>
        <w:pStyle w:val="BodyText"/>
        <w:spacing w:line="216" w:lineRule="auto" w:before="1"/>
        <w:ind w:left="566" w:right="612"/>
        <w:rPr>
          <w:b w:val="0"/>
        </w:rPr>
      </w:pPr>
      <w:r>
        <w:rPr>
          <w:b w:val="0"/>
        </w:rPr>
        <w:t>Internal users and devices accessing Microsoft Dynamics 365 data indirectly through a portal or via an API to a separate service such Microsoft Outlook must also be properly licensed, regardless of if they are set up as a Microsoft Dynamics 365 user in the service, for example:</w:t>
      </w:r>
    </w:p>
    <w:p>
      <w:pPr>
        <w:pStyle w:val="BodyText"/>
        <w:spacing w:before="2"/>
        <w:rPr>
          <w:b w:val="0"/>
          <w:sz w:val="18"/>
        </w:rPr>
      </w:pPr>
    </w:p>
    <w:p>
      <w:pPr>
        <w:pStyle w:val="ListParagraph"/>
        <w:numPr>
          <w:ilvl w:val="0"/>
          <w:numId w:val="2"/>
        </w:numPr>
        <w:tabs>
          <w:tab w:pos="837" w:val="left" w:leader="none"/>
          <w:tab w:pos="839" w:val="left" w:leader="none"/>
        </w:tabs>
        <w:spacing w:line="216" w:lineRule="auto" w:before="0" w:after="0"/>
        <w:ind w:left="838" w:right="1013" w:hanging="272"/>
        <w:jc w:val="left"/>
        <w:rPr>
          <w:b w:val="0"/>
          <w:sz w:val="20"/>
        </w:rPr>
      </w:pPr>
      <w:r>
        <w:rPr>
          <w:b w:val="0"/>
          <w:sz w:val="20"/>
        </w:rPr>
        <w:t>Internal</w:t>
      </w:r>
      <w:r>
        <w:rPr>
          <w:b w:val="0"/>
          <w:spacing w:val="-4"/>
          <w:sz w:val="20"/>
        </w:rPr>
        <w:t> </w:t>
      </w:r>
      <w:r>
        <w:rPr>
          <w:b w:val="0"/>
          <w:sz w:val="20"/>
        </w:rPr>
        <w:t>users</w:t>
      </w:r>
      <w:r>
        <w:rPr>
          <w:b w:val="0"/>
          <w:spacing w:val="-4"/>
          <w:sz w:val="20"/>
        </w:rPr>
        <w:t> </w:t>
      </w:r>
      <w:r>
        <w:rPr>
          <w:b w:val="0"/>
          <w:sz w:val="20"/>
        </w:rPr>
        <w:t>and devices</w:t>
      </w:r>
      <w:r>
        <w:rPr>
          <w:b w:val="0"/>
          <w:spacing w:val="-6"/>
          <w:sz w:val="20"/>
        </w:rPr>
        <w:t> </w:t>
      </w:r>
      <w:r>
        <w:rPr>
          <w:b w:val="0"/>
          <w:sz w:val="20"/>
        </w:rPr>
        <w:t>access</w:t>
      </w:r>
      <w:r>
        <w:rPr>
          <w:b w:val="0"/>
          <w:spacing w:val="-2"/>
          <w:sz w:val="20"/>
        </w:rPr>
        <w:t> </w:t>
      </w:r>
      <w:r>
        <w:rPr>
          <w:b w:val="0"/>
          <w:sz w:val="20"/>
        </w:rPr>
        <w:t>Microsoft</w:t>
      </w:r>
      <w:r>
        <w:rPr>
          <w:b w:val="0"/>
          <w:spacing w:val="-6"/>
          <w:sz w:val="20"/>
        </w:rPr>
        <w:t> </w:t>
      </w:r>
      <w:r>
        <w:rPr>
          <w:b w:val="0"/>
          <w:sz w:val="20"/>
        </w:rPr>
        <w:t>Dynamics 365</w:t>
      </w:r>
      <w:r>
        <w:rPr>
          <w:b w:val="0"/>
          <w:spacing w:val="-8"/>
          <w:sz w:val="20"/>
        </w:rPr>
        <w:t> </w:t>
      </w:r>
      <w:r>
        <w:rPr>
          <w:b w:val="0"/>
          <w:sz w:val="20"/>
        </w:rPr>
        <w:t>data</w:t>
      </w:r>
      <w:r>
        <w:rPr>
          <w:b w:val="0"/>
          <w:spacing w:val="-2"/>
          <w:sz w:val="20"/>
        </w:rPr>
        <w:t> </w:t>
      </w:r>
      <w:r>
        <w:rPr>
          <w:b w:val="0"/>
          <w:sz w:val="20"/>
        </w:rPr>
        <w:t>indirectly</w:t>
      </w:r>
      <w:r>
        <w:rPr>
          <w:b w:val="0"/>
          <w:spacing w:val="-5"/>
          <w:sz w:val="20"/>
        </w:rPr>
        <w:t> </w:t>
      </w:r>
      <w:r>
        <w:rPr>
          <w:b w:val="0"/>
          <w:sz w:val="20"/>
        </w:rPr>
        <w:t>through</w:t>
      </w:r>
      <w:r>
        <w:rPr>
          <w:b w:val="0"/>
          <w:spacing w:val="-1"/>
          <w:sz w:val="20"/>
        </w:rPr>
        <w:t> </w:t>
      </w:r>
      <w:r>
        <w:rPr>
          <w:b w:val="0"/>
          <w:sz w:val="20"/>
        </w:rPr>
        <w:t>a</w:t>
      </w:r>
      <w:r>
        <w:rPr>
          <w:b w:val="0"/>
          <w:spacing w:val="-3"/>
          <w:sz w:val="20"/>
        </w:rPr>
        <w:t> </w:t>
      </w:r>
      <w:r>
        <w:rPr>
          <w:b w:val="0"/>
          <w:sz w:val="20"/>
        </w:rPr>
        <w:t>PowerApps</w:t>
      </w:r>
      <w:r>
        <w:rPr>
          <w:b w:val="0"/>
          <w:spacing w:val="-1"/>
          <w:sz w:val="20"/>
        </w:rPr>
        <w:t> </w:t>
      </w:r>
      <w:r>
        <w:rPr>
          <w:b w:val="0"/>
          <w:sz w:val="20"/>
        </w:rPr>
        <w:t>must</w:t>
      </w:r>
      <w:r>
        <w:rPr>
          <w:b w:val="0"/>
          <w:spacing w:val="-1"/>
          <w:sz w:val="20"/>
        </w:rPr>
        <w:t> </w:t>
      </w:r>
      <w:r>
        <w:rPr>
          <w:b w:val="0"/>
          <w:sz w:val="20"/>
        </w:rPr>
        <w:t>still</w:t>
      </w:r>
      <w:r>
        <w:rPr>
          <w:b w:val="0"/>
          <w:spacing w:val="-7"/>
          <w:sz w:val="20"/>
        </w:rPr>
        <w:t> </w:t>
      </w:r>
      <w:r>
        <w:rPr>
          <w:b w:val="0"/>
          <w:sz w:val="20"/>
        </w:rPr>
        <w:t>be properly licensed for Dynamics</w:t>
      </w:r>
      <w:r>
        <w:rPr>
          <w:b w:val="0"/>
          <w:spacing w:val="5"/>
          <w:sz w:val="20"/>
        </w:rPr>
        <w:t> </w:t>
      </w:r>
      <w:r>
        <w:rPr>
          <w:b w:val="0"/>
          <w:sz w:val="20"/>
        </w:rPr>
        <w:t>365.</w:t>
      </w:r>
    </w:p>
    <w:p>
      <w:pPr>
        <w:pStyle w:val="ListParagraph"/>
        <w:numPr>
          <w:ilvl w:val="0"/>
          <w:numId w:val="2"/>
        </w:numPr>
        <w:tabs>
          <w:tab w:pos="837" w:val="left" w:leader="none"/>
          <w:tab w:pos="839" w:val="left" w:leader="none"/>
        </w:tabs>
        <w:spacing w:line="216" w:lineRule="auto" w:before="2" w:after="0"/>
        <w:ind w:left="838" w:right="1395" w:hanging="272"/>
        <w:jc w:val="left"/>
        <w:rPr>
          <w:b w:val="0"/>
          <w:sz w:val="20"/>
        </w:rPr>
      </w:pPr>
      <w:r>
        <w:rPr>
          <w:b w:val="0"/>
          <w:sz w:val="20"/>
        </w:rPr>
        <w:t>Any</w:t>
      </w:r>
      <w:r>
        <w:rPr>
          <w:b w:val="0"/>
          <w:spacing w:val="-5"/>
          <w:sz w:val="20"/>
        </w:rPr>
        <w:t> </w:t>
      </w:r>
      <w:r>
        <w:rPr>
          <w:b w:val="0"/>
          <w:sz w:val="20"/>
        </w:rPr>
        <w:t>user</w:t>
      </w:r>
      <w:r>
        <w:rPr>
          <w:b w:val="0"/>
          <w:spacing w:val="-3"/>
          <w:sz w:val="20"/>
        </w:rPr>
        <w:t> </w:t>
      </w:r>
      <w:r>
        <w:rPr>
          <w:b w:val="0"/>
          <w:sz w:val="20"/>
        </w:rPr>
        <w:t>or</w:t>
      </w:r>
      <w:r>
        <w:rPr>
          <w:b w:val="0"/>
          <w:spacing w:val="-5"/>
          <w:sz w:val="20"/>
        </w:rPr>
        <w:t> </w:t>
      </w:r>
      <w:r>
        <w:rPr>
          <w:b w:val="0"/>
          <w:sz w:val="20"/>
        </w:rPr>
        <w:t>device</w:t>
      </w:r>
      <w:r>
        <w:rPr>
          <w:b w:val="0"/>
          <w:spacing w:val="-5"/>
          <w:sz w:val="20"/>
        </w:rPr>
        <w:t> </w:t>
      </w:r>
      <w:r>
        <w:rPr>
          <w:b w:val="0"/>
          <w:sz w:val="20"/>
        </w:rPr>
        <w:t>that</w:t>
      </w:r>
      <w:r>
        <w:rPr>
          <w:b w:val="0"/>
          <w:spacing w:val="-1"/>
          <w:sz w:val="20"/>
        </w:rPr>
        <w:t> </w:t>
      </w:r>
      <w:r>
        <w:rPr>
          <w:b w:val="0"/>
          <w:sz w:val="20"/>
        </w:rPr>
        <w:t>accesses</w:t>
      </w:r>
      <w:r>
        <w:rPr>
          <w:b w:val="0"/>
          <w:spacing w:val="-1"/>
          <w:sz w:val="20"/>
        </w:rPr>
        <w:t> </w:t>
      </w:r>
      <w:r>
        <w:rPr>
          <w:b w:val="0"/>
          <w:sz w:val="20"/>
        </w:rPr>
        <w:t>the</w:t>
      </w:r>
      <w:r>
        <w:rPr>
          <w:b w:val="0"/>
          <w:spacing w:val="-4"/>
          <w:sz w:val="20"/>
        </w:rPr>
        <w:t> </w:t>
      </w:r>
      <w:r>
        <w:rPr>
          <w:b w:val="0"/>
          <w:sz w:val="20"/>
        </w:rPr>
        <w:t>service,</w:t>
      </w:r>
      <w:r>
        <w:rPr>
          <w:b w:val="0"/>
          <w:spacing w:val="-5"/>
          <w:sz w:val="20"/>
        </w:rPr>
        <w:t> </w:t>
      </w:r>
      <w:r>
        <w:rPr>
          <w:b w:val="0"/>
          <w:sz w:val="20"/>
        </w:rPr>
        <w:t>files,</w:t>
      </w:r>
      <w:r>
        <w:rPr>
          <w:b w:val="0"/>
          <w:spacing w:val="-6"/>
          <w:sz w:val="20"/>
        </w:rPr>
        <w:t> </w:t>
      </w:r>
      <w:r>
        <w:rPr>
          <w:b w:val="0"/>
          <w:sz w:val="20"/>
        </w:rPr>
        <w:t>data,</w:t>
      </w:r>
      <w:r>
        <w:rPr>
          <w:b w:val="0"/>
          <w:spacing w:val="2"/>
          <w:sz w:val="20"/>
        </w:rPr>
        <w:t> </w:t>
      </w:r>
      <w:r>
        <w:rPr>
          <w:b w:val="0"/>
          <w:sz w:val="20"/>
        </w:rPr>
        <w:t>or</w:t>
      </w:r>
      <w:r>
        <w:rPr>
          <w:b w:val="0"/>
          <w:spacing w:val="-6"/>
          <w:sz w:val="20"/>
        </w:rPr>
        <w:t> </w:t>
      </w:r>
      <w:r>
        <w:rPr>
          <w:b w:val="0"/>
          <w:sz w:val="20"/>
        </w:rPr>
        <w:t>content</w:t>
      </w:r>
      <w:r>
        <w:rPr>
          <w:b w:val="0"/>
          <w:spacing w:val="-1"/>
          <w:sz w:val="20"/>
        </w:rPr>
        <w:t> </w:t>
      </w:r>
      <w:r>
        <w:rPr>
          <w:b w:val="0"/>
          <w:sz w:val="20"/>
        </w:rPr>
        <w:t>provided</w:t>
      </w:r>
      <w:r>
        <w:rPr>
          <w:b w:val="0"/>
          <w:spacing w:val="-1"/>
          <w:sz w:val="20"/>
        </w:rPr>
        <w:t> </w:t>
      </w:r>
      <w:r>
        <w:rPr>
          <w:b w:val="0"/>
          <w:sz w:val="20"/>
        </w:rPr>
        <w:t>by</w:t>
      </w:r>
      <w:r>
        <w:rPr>
          <w:b w:val="0"/>
          <w:spacing w:val="-4"/>
          <w:sz w:val="20"/>
        </w:rPr>
        <w:t> </w:t>
      </w:r>
      <w:r>
        <w:rPr>
          <w:b w:val="0"/>
          <w:sz w:val="20"/>
        </w:rPr>
        <w:t>the</w:t>
      </w:r>
      <w:r>
        <w:rPr>
          <w:b w:val="0"/>
          <w:spacing w:val="-4"/>
          <w:sz w:val="20"/>
        </w:rPr>
        <w:t> </w:t>
      </w:r>
      <w:r>
        <w:rPr>
          <w:b w:val="0"/>
          <w:sz w:val="20"/>
        </w:rPr>
        <w:t>service</w:t>
      </w:r>
      <w:r>
        <w:rPr>
          <w:b w:val="0"/>
          <w:spacing w:val="-5"/>
          <w:sz w:val="20"/>
        </w:rPr>
        <w:t> </w:t>
      </w:r>
      <w:r>
        <w:rPr>
          <w:b w:val="0"/>
          <w:sz w:val="20"/>
        </w:rPr>
        <w:t>that</w:t>
      </w:r>
      <w:r>
        <w:rPr>
          <w:b w:val="0"/>
          <w:spacing w:val="-1"/>
          <w:sz w:val="20"/>
        </w:rPr>
        <w:t> </w:t>
      </w:r>
      <w:r>
        <w:rPr>
          <w:b w:val="0"/>
          <w:sz w:val="20"/>
        </w:rPr>
        <w:t>is</w:t>
      </w:r>
      <w:r>
        <w:rPr>
          <w:b w:val="0"/>
          <w:spacing w:val="-6"/>
          <w:sz w:val="20"/>
        </w:rPr>
        <w:t> </w:t>
      </w:r>
      <w:r>
        <w:rPr>
          <w:b w:val="0"/>
          <w:sz w:val="20"/>
        </w:rPr>
        <w:t>made available through an automated process requires a Microsoft Dynamics 365</w:t>
      </w:r>
      <w:r>
        <w:rPr>
          <w:b w:val="0"/>
          <w:spacing w:val="14"/>
          <w:sz w:val="20"/>
        </w:rPr>
        <w:t> </w:t>
      </w:r>
      <w:r>
        <w:rPr>
          <w:b w:val="0"/>
          <w:sz w:val="20"/>
        </w:rPr>
        <w:t>SL.</w:t>
      </w:r>
    </w:p>
    <w:p>
      <w:pPr>
        <w:pStyle w:val="ListParagraph"/>
        <w:numPr>
          <w:ilvl w:val="0"/>
          <w:numId w:val="2"/>
        </w:numPr>
        <w:tabs>
          <w:tab w:pos="837" w:val="left" w:leader="none"/>
          <w:tab w:pos="839" w:val="left" w:leader="none"/>
        </w:tabs>
        <w:spacing w:line="216" w:lineRule="auto" w:before="1" w:after="0"/>
        <w:ind w:left="838" w:right="1167" w:hanging="272"/>
        <w:jc w:val="left"/>
        <w:rPr>
          <w:b w:val="0"/>
          <w:sz w:val="20"/>
        </w:rPr>
      </w:pPr>
      <w:r>
        <w:rPr>
          <w:b w:val="0"/>
          <w:sz w:val="20"/>
        </w:rPr>
        <w:t>The</w:t>
      </w:r>
      <w:r>
        <w:rPr>
          <w:b w:val="0"/>
          <w:spacing w:val="-3"/>
          <w:sz w:val="20"/>
        </w:rPr>
        <w:t> </w:t>
      </w:r>
      <w:r>
        <w:rPr>
          <w:b w:val="0"/>
          <w:sz w:val="20"/>
        </w:rPr>
        <w:t>number</w:t>
      </w:r>
      <w:r>
        <w:rPr>
          <w:b w:val="0"/>
          <w:spacing w:val="1"/>
          <w:sz w:val="20"/>
        </w:rPr>
        <w:t> </w:t>
      </w:r>
      <w:r>
        <w:rPr>
          <w:b w:val="0"/>
          <w:sz w:val="20"/>
        </w:rPr>
        <w:t>of</w:t>
      </w:r>
      <w:r>
        <w:rPr>
          <w:b w:val="0"/>
          <w:spacing w:val="-5"/>
          <w:sz w:val="20"/>
        </w:rPr>
        <w:t> </w:t>
      </w:r>
      <w:r>
        <w:rPr>
          <w:b w:val="0"/>
          <w:sz w:val="20"/>
        </w:rPr>
        <w:t>tiers</w:t>
      </w:r>
      <w:r>
        <w:rPr>
          <w:b w:val="0"/>
          <w:spacing w:val="-7"/>
          <w:sz w:val="20"/>
        </w:rPr>
        <w:t> </w:t>
      </w:r>
      <w:r>
        <w:rPr>
          <w:b w:val="0"/>
          <w:sz w:val="20"/>
        </w:rPr>
        <w:t>of</w:t>
      </w:r>
      <w:r>
        <w:rPr>
          <w:b w:val="0"/>
          <w:spacing w:val="-5"/>
          <w:sz w:val="20"/>
        </w:rPr>
        <w:t> </w:t>
      </w:r>
      <w:r>
        <w:rPr>
          <w:b w:val="0"/>
          <w:sz w:val="20"/>
        </w:rPr>
        <w:t>hardware</w:t>
      </w:r>
      <w:r>
        <w:rPr>
          <w:b w:val="0"/>
          <w:spacing w:val="2"/>
          <w:sz w:val="20"/>
        </w:rPr>
        <w:t> </w:t>
      </w:r>
      <w:r>
        <w:rPr>
          <w:b w:val="0"/>
          <w:sz w:val="20"/>
        </w:rPr>
        <w:t>or</w:t>
      </w:r>
      <w:r>
        <w:rPr>
          <w:b w:val="0"/>
          <w:spacing w:val="-6"/>
          <w:sz w:val="20"/>
        </w:rPr>
        <w:t> </w:t>
      </w:r>
      <w:r>
        <w:rPr>
          <w:b w:val="0"/>
          <w:sz w:val="20"/>
        </w:rPr>
        <w:t>software</w:t>
      </w:r>
      <w:r>
        <w:rPr>
          <w:b w:val="0"/>
          <w:spacing w:val="-2"/>
          <w:sz w:val="20"/>
        </w:rPr>
        <w:t> </w:t>
      </w:r>
      <w:r>
        <w:rPr>
          <w:b w:val="0"/>
          <w:sz w:val="20"/>
        </w:rPr>
        <w:t>between</w:t>
      </w:r>
      <w:r>
        <w:rPr>
          <w:b w:val="0"/>
          <w:spacing w:val="-6"/>
          <w:sz w:val="20"/>
        </w:rPr>
        <w:t> </w:t>
      </w:r>
      <w:r>
        <w:rPr>
          <w:b w:val="0"/>
          <w:sz w:val="20"/>
        </w:rPr>
        <w:t>the</w:t>
      </w:r>
      <w:r>
        <w:rPr>
          <w:b w:val="0"/>
          <w:spacing w:val="-3"/>
          <w:sz w:val="20"/>
        </w:rPr>
        <w:t> </w:t>
      </w:r>
      <w:r>
        <w:rPr>
          <w:b w:val="0"/>
          <w:sz w:val="20"/>
        </w:rPr>
        <w:t>Microsoft</w:t>
      </w:r>
      <w:r>
        <w:rPr>
          <w:b w:val="0"/>
          <w:spacing w:val="-1"/>
          <w:sz w:val="20"/>
        </w:rPr>
        <w:t> </w:t>
      </w:r>
      <w:r>
        <w:rPr>
          <w:b w:val="0"/>
          <w:sz w:val="20"/>
        </w:rPr>
        <w:t>Dynamics</w:t>
      </w:r>
      <w:r>
        <w:rPr>
          <w:b w:val="0"/>
          <w:spacing w:val="-1"/>
          <w:sz w:val="20"/>
        </w:rPr>
        <w:t> </w:t>
      </w:r>
      <w:r>
        <w:rPr>
          <w:b w:val="0"/>
          <w:sz w:val="20"/>
        </w:rPr>
        <w:t>365</w:t>
      </w:r>
      <w:r>
        <w:rPr>
          <w:b w:val="0"/>
          <w:spacing w:val="-7"/>
          <w:sz w:val="20"/>
        </w:rPr>
        <w:t> </w:t>
      </w:r>
      <w:r>
        <w:rPr>
          <w:b w:val="0"/>
          <w:sz w:val="20"/>
        </w:rPr>
        <w:t>service</w:t>
      </w:r>
      <w:r>
        <w:rPr>
          <w:b w:val="0"/>
          <w:spacing w:val="-6"/>
          <w:sz w:val="20"/>
        </w:rPr>
        <w:t> </w:t>
      </w:r>
      <w:r>
        <w:rPr>
          <w:b w:val="0"/>
          <w:sz w:val="20"/>
        </w:rPr>
        <w:t>and</w:t>
      </w:r>
      <w:r>
        <w:rPr>
          <w:b w:val="0"/>
          <w:spacing w:val="1"/>
          <w:sz w:val="20"/>
        </w:rPr>
        <w:t> </w:t>
      </w:r>
      <w:r>
        <w:rPr>
          <w:b w:val="0"/>
          <w:sz w:val="20"/>
        </w:rPr>
        <w:t>the</w:t>
      </w:r>
      <w:r>
        <w:rPr>
          <w:b w:val="0"/>
          <w:spacing w:val="-5"/>
          <w:sz w:val="20"/>
        </w:rPr>
        <w:t> </w:t>
      </w:r>
      <w:r>
        <w:rPr>
          <w:b w:val="0"/>
          <w:sz w:val="20"/>
        </w:rPr>
        <w:t>user</w:t>
      </w:r>
      <w:r>
        <w:rPr>
          <w:b w:val="0"/>
          <w:spacing w:val="-4"/>
          <w:sz w:val="20"/>
        </w:rPr>
        <w:t> </w:t>
      </w:r>
      <w:r>
        <w:rPr>
          <w:b w:val="0"/>
          <w:sz w:val="20"/>
        </w:rPr>
        <w:t>or devices</w:t>
      </w:r>
      <w:r>
        <w:rPr>
          <w:b w:val="0"/>
          <w:spacing w:val="-5"/>
          <w:sz w:val="20"/>
        </w:rPr>
        <w:t> </w:t>
      </w:r>
      <w:r>
        <w:rPr>
          <w:b w:val="0"/>
          <w:sz w:val="20"/>
        </w:rPr>
        <w:t>that</w:t>
      </w:r>
      <w:r>
        <w:rPr>
          <w:b w:val="0"/>
          <w:spacing w:val="-2"/>
          <w:sz w:val="20"/>
        </w:rPr>
        <w:t> </w:t>
      </w:r>
      <w:r>
        <w:rPr>
          <w:b w:val="0"/>
          <w:sz w:val="20"/>
        </w:rPr>
        <w:t>ultimately</w:t>
      </w:r>
      <w:r>
        <w:rPr>
          <w:b w:val="0"/>
          <w:spacing w:val="-2"/>
          <w:sz w:val="20"/>
        </w:rPr>
        <w:t> </w:t>
      </w:r>
      <w:r>
        <w:rPr>
          <w:b w:val="0"/>
          <w:sz w:val="20"/>
        </w:rPr>
        <w:t>use</w:t>
      </w:r>
      <w:r>
        <w:rPr>
          <w:b w:val="0"/>
          <w:spacing w:val="-5"/>
          <w:sz w:val="20"/>
        </w:rPr>
        <w:t> </w:t>
      </w:r>
      <w:r>
        <w:rPr>
          <w:b w:val="0"/>
          <w:sz w:val="20"/>
        </w:rPr>
        <w:t>its</w:t>
      </w:r>
      <w:r>
        <w:rPr>
          <w:b w:val="0"/>
          <w:spacing w:val="-6"/>
          <w:sz w:val="20"/>
        </w:rPr>
        <w:t> </w:t>
      </w:r>
      <w:r>
        <w:rPr>
          <w:b w:val="0"/>
          <w:sz w:val="20"/>
        </w:rPr>
        <w:t>data,</w:t>
      </w:r>
      <w:r>
        <w:rPr>
          <w:b w:val="0"/>
          <w:spacing w:val="1"/>
          <w:sz w:val="20"/>
        </w:rPr>
        <w:t> </w:t>
      </w:r>
      <w:r>
        <w:rPr>
          <w:b w:val="0"/>
          <w:sz w:val="20"/>
        </w:rPr>
        <w:t>services,</w:t>
      </w:r>
      <w:r>
        <w:rPr>
          <w:b w:val="0"/>
          <w:spacing w:val="-3"/>
          <w:sz w:val="20"/>
        </w:rPr>
        <w:t> </w:t>
      </w:r>
      <w:r>
        <w:rPr>
          <w:b w:val="0"/>
          <w:sz w:val="20"/>
        </w:rPr>
        <w:t>or</w:t>
      </w:r>
      <w:r>
        <w:rPr>
          <w:b w:val="0"/>
          <w:spacing w:val="-7"/>
          <w:sz w:val="20"/>
        </w:rPr>
        <w:t> </w:t>
      </w:r>
      <w:r>
        <w:rPr>
          <w:b w:val="0"/>
          <w:sz w:val="20"/>
        </w:rPr>
        <w:t>functionality does</w:t>
      </w:r>
      <w:r>
        <w:rPr>
          <w:b w:val="0"/>
          <w:spacing w:val="-3"/>
          <w:sz w:val="20"/>
        </w:rPr>
        <w:t> </w:t>
      </w:r>
      <w:r>
        <w:rPr>
          <w:b w:val="0"/>
          <w:sz w:val="20"/>
        </w:rPr>
        <w:t>not</w:t>
      </w:r>
      <w:r>
        <w:rPr>
          <w:b w:val="0"/>
          <w:spacing w:val="-5"/>
          <w:sz w:val="20"/>
        </w:rPr>
        <w:t> </w:t>
      </w:r>
      <w:r>
        <w:rPr>
          <w:b w:val="0"/>
          <w:sz w:val="20"/>
        </w:rPr>
        <w:t>affect</w:t>
      </w:r>
      <w:r>
        <w:rPr>
          <w:b w:val="0"/>
          <w:spacing w:val="-1"/>
          <w:sz w:val="20"/>
        </w:rPr>
        <w:t> </w:t>
      </w:r>
      <w:r>
        <w:rPr>
          <w:b w:val="0"/>
          <w:sz w:val="20"/>
        </w:rPr>
        <w:t>the</w:t>
      </w:r>
      <w:r>
        <w:rPr>
          <w:b w:val="0"/>
          <w:spacing w:val="-5"/>
          <w:sz w:val="20"/>
        </w:rPr>
        <w:t> </w:t>
      </w:r>
      <w:r>
        <w:rPr>
          <w:b w:val="0"/>
          <w:sz w:val="20"/>
        </w:rPr>
        <w:t>number</w:t>
      </w:r>
      <w:r>
        <w:rPr>
          <w:b w:val="0"/>
          <w:spacing w:val="1"/>
          <w:sz w:val="20"/>
        </w:rPr>
        <w:t> </w:t>
      </w:r>
      <w:r>
        <w:rPr>
          <w:b w:val="0"/>
          <w:sz w:val="20"/>
        </w:rPr>
        <w:t>of</w:t>
      </w:r>
      <w:r>
        <w:rPr>
          <w:b w:val="0"/>
          <w:spacing w:val="-5"/>
          <w:sz w:val="20"/>
        </w:rPr>
        <w:t> </w:t>
      </w:r>
      <w:r>
        <w:rPr>
          <w:b w:val="0"/>
          <w:sz w:val="20"/>
        </w:rPr>
        <w:t>SLs</w:t>
      </w:r>
      <w:r>
        <w:rPr>
          <w:b w:val="0"/>
          <w:spacing w:val="-2"/>
          <w:sz w:val="20"/>
        </w:rPr>
        <w:t> </w:t>
      </w:r>
      <w:r>
        <w:rPr>
          <w:b w:val="0"/>
          <w:sz w:val="20"/>
        </w:rPr>
        <w:t>required.</w:t>
      </w:r>
    </w:p>
    <w:p>
      <w:pPr>
        <w:pStyle w:val="BodyText"/>
        <w:spacing w:before="1"/>
        <w:rPr>
          <w:b w:val="0"/>
          <w:sz w:val="18"/>
        </w:rPr>
      </w:pPr>
    </w:p>
    <w:p>
      <w:pPr>
        <w:pStyle w:val="BodyText"/>
        <w:spacing w:line="216" w:lineRule="auto"/>
        <w:ind w:left="566" w:right="411"/>
        <w:rPr>
          <w:b w:val="0"/>
        </w:rPr>
      </w:pPr>
      <w:r>
        <w:rPr>
          <w:b w:val="0"/>
        </w:rPr>
        <w:t>For additional information about multiplexing refer to the Microsoft Volume Licensing Brief Multiplexing—Client Access License (CAL) Requirements.</w:t>
      </w:r>
    </w:p>
    <w:p>
      <w:pPr>
        <w:pStyle w:val="BodyText"/>
        <w:rPr>
          <w:b w:val="0"/>
        </w:rPr>
      </w:pPr>
    </w:p>
    <w:p>
      <w:pPr>
        <w:pStyle w:val="BodyText"/>
        <w:rPr>
          <w:b w:val="0"/>
        </w:rPr>
      </w:pPr>
    </w:p>
    <w:p>
      <w:pPr>
        <w:pStyle w:val="BodyText"/>
        <w:spacing w:before="1"/>
        <w:rPr>
          <w:b w:val="0"/>
          <w:sz w:val="21"/>
        </w:rPr>
      </w:pPr>
      <w:r>
        <w:rPr/>
        <w:drawing>
          <wp:anchor distT="0" distB="0" distL="0" distR="0" allowOverlap="1" layoutInCell="1" locked="0" behindDoc="0" simplePos="0" relativeHeight="16">
            <wp:simplePos x="0" y="0"/>
            <wp:positionH relativeFrom="page">
              <wp:posOffset>432816</wp:posOffset>
            </wp:positionH>
            <wp:positionV relativeFrom="paragraph">
              <wp:posOffset>202787</wp:posOffset>
            </wp:positionV>
            <wp:extent cx="5935836" cy="2800350"/>
            <wp:effectExtent l="0" t="0" r="0" b="0"/>
            <wp:wrapTopAndBottom/>
            <wp:docPr id="5" name="image22.jpeg"/>
            <wp:cNvGraphicFramePr>
              <a:graphicFrameLocks noChangeAspect="1"/>
            </wp:cNvGraphicFramePr>
            <a:graphic>
              <a:graphicData uri="http://schemas.openxmlformats.org/drawingml/2006/picture">
                <pic:pic>
                  <pic:nvPicPr>
                    <pic:cNvPr id="6" name="image22.jpeg"/>
                    <pic:cNvPicPr/>
                  </pic:nvPicPr>
                  <pic:blipFill>
                    <a:blip r:embed="rId32" cstate="print"/>
                    <a:stretch>
                      <a:fillRect/>
                    </a:stretch>
                  </pic:blipFill>
                  <pic:spPr>
                    <a:xfrm>
                      <a:off x="0" y="0"/>
                      <a:ext cx="5935836" cy="2800350"/>
                    </a:xfrm>
                    <a:prstGeom prst="rect">
                      <a:avLst/>
                    </a:prstGeom>
                  </pic:spPr>
                </pic:pic>
              </a:graphicData>
            </a:graphic>
          </wp:anchor>
        </w:drawing>
      </w:r>
    </w:p>
    <w:p>
      <w:pPr>
        <w:spacing w:after="0"/>
        <w:rPr>
          <w:sz w:val="21"/>
        </w:rPr>
        <w:sectPr>
          <w:pgSz w:w="10800" w:h="15600"/>
          <w:pgMar w:header="0" w:footer="0" w:top="660" w:bottom="280" w:left="0" w:right="0"/>
        </w:sectPr>
      </w:pPr>
    </w:p>
    <w:p>
      <w:pPr>
        <w:pStyle w:val="BodyText"/>
        <w:spacing w:before="13"/>
        <w:rPr>
          <w:b w:val="0"/>
          <w:sz w:val="26"/>
        </w:rPr>
      </w:pPr>
    </w:p>
    <w:p>
      <w:pPr>
        <w:pStyle w:val="Heading3"/>
        <w:rPr>
          <w:b w:val="0"/>
          <w:u w:val="none"/>
        </w:rPr>
      </w:pPr>
      <w:r>
        <w:rPr/>
        <w:pict>
          <v:rect style="position:absolute;margin-left:28.325001pt;margin-top:19.009193pt;width:78.715pt;height:.72pt;mso-position-horizontal-relative:page;mso-position-vertical-relative:paragraph;z-index:15738880" filled="true" fillcolor="#0075ab" stroked="false">
            <v:fill type="solid"/>
            <w10:wrap type="none"/>
          </v:rect>
        </w:pict>
      </w:r>
      <w:r>
        <w:rPr>
          <w:b w:val="0"/>
          <w:color w:val="0075AB"/>
          <w:u w:val="none"/>
        </w:rPr>
        <w:t>Dual Use Rights</w:t>
      </w:r>
    </w:p>
    <w:p>
      <w:pPr>
        <w:pStyle w:val="BodyText"/>
        <w:spacing w:line="216" w:lineRule="auto" w:before="229"/>
        <w:ind w:left="566" w:right="744"/>
        <w:rPr>
          <w:b w:val="0"/>
        </w:rPr>
      </w:pPr>
      <w:r>
        <w:rPr>
          <w:b w:val="0"/>
        </w:rPr>
        <w:t>One of the advantages of Dynamics 365 is dual use rights. This allows customers the option to deploy the server software</w:t>
      </w:r>
      <w:r>
        <w:rPr>
          <w:b w:val="0"/>
          <w:spacing w:val="-3"/>
        </w:rPr>
        <w:t> </w:t>
      </w:r>
      <w:r>
        <w:rPr>
          <w:b w:val="0"/>
        </w:rPr>
        <w:t>either</w:t>
      </w:r>
      <w:r>
        <w:rPr>
          <w:b w:val="0"/>
          <w:spacing w:val="-8"/>
        </w:rPr>
        <w:t> </w:t>
      </w:r>
      <w:r>
        <w:rPr>
          <w:b w:val="0"/>
        </w:rPr>
        <w:t>in</w:t>
      </w:r>
      <w:r>
        <w:rPr>
          <w:b w:val="0"/>
          <w:spacing w:val="-3"/>
        </w:rPr>
        <w:t> </w:t>
      </w:r>
      <w:r>
        <w:rPr>
          <w:b w:val="0"/>
        </w:rPr>
        <w:t>Microsoft’s</w:t>
      </w:r>
      <w:r>
        <w:rPr>
          <w:b w:val="0"/>
          <w:spacing w:val="-1"/>
        </w:rPr>
        <w:t> </w:t>
      </w:r>
      <w:r>
        <w:rPr>
          <w:b w:val="0"/>
        </w:rPr>
        <w:t>cloud</w:t>
      </w:r>
      <w:r>
        <w:rPr>
          <w:b w:val="0"/>
          <w:spacing w:val="-4"/>
        </w:rPr>
        <w:t> </w:t>
      </w:r>
      <w:r>
        <w:rPr>
          <w:b w:val="0"/>
        </w:rPr>
        <w:t>or</w:t>
      </w:r>
      <w:r>
        <w:rPr>
          <w:b w:val="0"/>
          <w:spacing w:val="-6"/>
        </w:rPr>
        <w:t> </w:t>
      </w:r>
      <w:r>
        <w:rPr>
          <w:b w:val="0"/>
        </w:rPr>
        <w:t>in</w:t>
      </w:r>
      <w:r>
        <w:rPr>
          <w:b w:val="0"/>
          <w:spacing w:val="-3"/>
        </w:rPr>
        <w:t> </w:t>
      </w:r>
      <w:r>
        <w:rPr>
          <w:b w:val="0"/>
        </w:rPr>
        <w:t>a</w:t>
      </w:r>
      <w:r>
        <w:rPr>
          <w:b w:val="0"/>
          <w:spacing w:val="-4"/>
        </w:rPr>
        <w:t> </w:t>
      </w:r>
      <w:r>
        <w:rPr>
          <w:b w:val="0"/>
        </w:rPr>
        <w:t>private</w:t>
      </w:r>
      <w:r>
        <w:rPr>
          <w:b w:val="0"/>
          <w:spacing w:val="-2"/>
        </w:rPr>
        <w:t> </w:t>
      </w:r>
      <w:r>
        <w:rPr>
          <w:b w:val="0"/>
        </w:rPr>
        <w:t>on-premises or</w:t>
      </w:r>
      <w:r>
        <w:rPr>
          <w:b w:val="0"/>
          <w:spacing w:val="-6"/>
        </w:rPr>
        <w:t> </w:t>
      </w:r>
      <w:r>
        <w:rPr>
          <w:b w:val="0"/>
        </w:rPr>
        <w:t>partner-hosted</w:t>
      </w:r>
      <w:r>
        <w:rPr>
          <w:b w:val="0"/>
          <w:spacing w:val="4"/>
        </w:rPr>
        <w:t> </w:t>
      </w:r>
      <w:r>
        <w:rPr>
          <w:b w:val="0"/>
        </w:rPr>
        <w:t>cloud.</w:t>
      </w:r>
      <w:r>
        <w:rPr>
          <w:b w:val="0"/>
          <w:spacing w:val="-2"/>
        </w:rPr>
        <w:t> </w:t>
      </w:r>
      <w:r>
        <w:rPr>
          <w:b w:val="0"/>
        </w:rPr>
        <w:t>In</w:t>
      </w:r>
      <w:r>
        <w:rPr>
          <w:b w:val="0"/>
          <w:spacing w:val="-6"/>
        </w:rPr>
        <w:t> </w:t>
      </w:r>
      <w:r>
        <w:rPr>
          <w:b w:val="0"/>
        </w:rPr>
        <w:t>some</w:t>
      </w:r>
      <w:r>
        <w:rPr>
          <w:b w:val="0"/>
          <w:spacing w:val="-3"/>
        </w:rPr>
        <w:t> </w:t>
      </w:r>
      <w:r>
        <w:rPr>
          <w:b w:val="0"/>
        </w:rPr>
        <w:t>cases,</w:t>
      </w:r>
      <w:r>
        <w:rPr>
          <w:b w:val="0"/>
          <w:spacing w:val="-1"/>
        </w:rPr>
        <w:t> </w:t>
      </w:r>
      <w:r>
        <w:rPr>
          <w:b w:val="0"/>
        </w:rPr>
        <w:t>customers may want to deploy both types of instances simultaneously. This might be done to help with migrating a Dynamics 365 on-premises deployment to Dynamics 365, running private Dev/Test deployments in Microsoft Azure. With Dual Use Rights, Dynamics 365 users licensed with the required User SL do not need to acquire CALs to access Server</w:t>
      </w:r>
      <w:r>
        <w:rPr>
          <w:b w:val="0"/>
          <w:spacing w:val="1"/>
        </w:rPr>
        <w:t> </w:t>
      </w:r>
      <w:r>
        <w:rPr>
          <w:b w:val="0"/>
        </w:rPr>
        <w:t>instances.</w:t>
      </w:r>
    </w:p>
    <w:p>
      <w:pPr>
        <w:pStyle w:val="BodyText"/>
        <w:spacing w:before="4"/>
        <w:rPr>
          <w:b w:val="0"/>
          <w:sz w:val="18"/>
        </w:rPr>
      </w:pPr>
    </w:p>
    <w:p>
      <w:pPr>
        <w:pStyle w:val="BodyText"/>
        <w:spacing w:line="216" w:lineRule="auto" w:before="1"/>
        <w:ind w:left="566" w:right="772"/>
        <w:rPr>
          <w:b w:val="0"/>
        </w:rPr>
      </w:pPr>
      <w:r>
        <w:rPr>
          <w:b w:val="0"/>
        </w:rPr>
        <w:t>Users or devices licensed with Dynamics 365 SLs have use rights equivalent to a CAL for the purpose of accessing equivalent on-premise workloads. With Dynamics 365 the server license is included with the SLs. Licenses for all supporting servers (e.g., Windows Server and CAL(s)) must be obtained separately.</w:t>
      </w:r>
    </w:p>
    <w:p>
      <w:pPr>
        <w:pStyle w:val="BodyText"/>
        <w:spacing w:before="2"/>
        <w:rPr>
          <w:b w:val="0"/>
          <w:sz w:val="18"/>
        </w:rPr>
      </w:pPr>
    </w:p>
    <w:p>
      <w:pPr>
        <w:pStyle w:val="BodyText"/>
        <w:spacing w:line="216" w:lineRule="auto"/>
        <w:ind w:left="566" w:right="1138"/>
        <w:rPr>
          <w:b w:val="0"/>
        </w:rPr>
      </w:pPr>
      <w:r>
        <w:rPr>
          <w:b w:val="0"/>
        </w:rPr>
        <w:t>Users or devices licensed with the following SLs may access the on-premise Dynamics 365 Server software provided via dual use rights:</w:t>
      </w:r>
    </w:p>
    <w:p>
      <w:pPr>
        <w:pStyle w:val="ListParagraph"/>
        <w:numPr>
          <w:ilvl w:val="1"/>
          <w:numId w:val="2"/>
        </w:numPr>
        <w:tabs>
          <w:tab w:pos="1100" w:val="left" w:leader="none"/>
        </w:tabs>
        <w:spacing w:line="233" w:lineRule="exact" w:before="0" w:after="0"/>
        <w:ind w:left="1099" w:right="0" w:hanging="270"/>
        <w:jc w:val="left"/>
        <w:rPr>
          <w:b w:val="0"/>
          <w:sz w:val="20"/>
        </w:rPr>
      </w:pPr>
      <w:r>
        <w:rPr>
          <w:b w:val="0"/>
          <w:sz w:val="20"/>
        </w:rPr>
        <w:t>Dynamics 365</w:t>
      </w:r>
      <w:r>
        <w:rPr>
          <w:b w:val="0"/>
          <w:spacing w:val="-18"/>
          <w:sz w:val="20"/>
        </w:rPr>
        <w:t> </w:t>
      </w:r>
      <w:r>
        <w:rPr>
          <w:b w:val="0"/>
          <w:sz w:val="20"/>
        </w:rPr>
        <w:t>Essentials</w:t>
      </w:r>
    </w:p>
    <w:p>
      <w:pPr>
        <w:pStyle w:val="ListParagraph"/>
        <w:numPr>
          <w:ilvl w:val="1"/>
          <w:numId w:val="2"/>
        </w:numPr>
        <w:tabs>
          <w:tab w:pos="1100" w:val="left" w:leader="none"/>
        </w:tabs>
        <w:spacing w:line="240" w:lineRule="exact" w:before="0" w:after="0"/>
        <w:ind w:left="1099" w:right="0" w:hanging="270"/>
        <w:jc w:val="left"/>
        <w:rPr>
          <w:b w:val="0"/>
          <w:sz w:val="20"/>
        </w:rPr>
      </w:pPr>
      <w:r>
        <w:rPr>
          <w:b w:val="0"/>
          <w:sz w:val="20"/>
        </w:rPr>
        <w:t>Dynamics 365</w:t>
      </w:r>
      <w:r>
        <w:rPr>
          <w:b w:val="0"/>
          <w:spacing w:val="-15"/>
          <w:sz w:val="20"/>
        </w:rPr>
        <w:t> </w:t>
      </w:r>
      <w:r>
        <w:rPr>
          <w:b w:val="0"/>
          <w:sz w:val="20"/>
        </w:rPr>
        <w:t>Premium</w:t>
      </w:r>
    </w:p>
    <w:p>
      <w:pPr>
        <w:pStyle w:val="ListParagraph"/>
        <w:numPr>
          <w:ilvl w:val="1"/>
          <w:numId w:val="2"/>
        </w:numPr>
        <w:tabs>
          <w:tab w:pos="1100" w:val="left" w:leader="none"/>
        </w:tabs>
        <w:spacing w:line="253" w:lineRule="exact" w:before="0" w:after="0"/>
        <w:ind w:left="1099" w:right="0" w:hanging="270"/>
        <w:jc w:val="left"/>
        <w:rPr>
          <w:b w:val="0"/>
          <w:sz w:val="20"/>
        </w:rPr>
      </w:pPr>
      <w:r>
        <w:rPr>
          <w:b w:val="0"/>
          <w:sz w:val="20"/>
        </w:rPr>
        <w:t>Dynamics 365 for Team</w:t>
      </w:r>
      <w:r>
        <w:rPr>
          <w:b w:val="0"/>
          <w:spacing w:val="4"/>
          <w:sz w:val="20"/>
        </w:rPr>
        <w:t> </w:t>
      </w:r>
      <w:r>
        <w:rPr>
          <w:b w:val="0"/>
          <w:sz w:val="20"/>
        </w:rPr>
        <w:t>Members</w:t>
      </w:r>
    </w:p>
    <w:p>
      <w:pPr>
        <w:pStyle w:val="BodyText"/>
        <w:spacing w:before="10"/>
        <w:rPr>
          <w:b w:val="0"/>
          <w:sz w:val="17"/>
        </w:rPr>
      </w:pPr>
    </w:p>
    <w:p>
      <w:pPr>
        <w:pStyle w:val="BodyText"/>
        <w:spacing w:line="216" w:lineRule="auto"/>
        <w:ind w:left="566" w:right="689"/>
        <w:rPr>
          <w:b w:val="0"/>
        </w:rPr>
      </w:pPr>
      <w:r>
        <w:rPr>
          <w:b w:val="0"/>
        </w:rPr>
        <w:t>To take advantage of Dual Use rights, a Dynamics 365 Business Central cloud subscription needs to be activated via CSP. Once the subscription has been activated, a customer account will be created in PartnerSource Business Center (PSBC) with the equivalent user SLs. The customer can access their on- premises/dual use rights license key (flf. format) by signing in to CustomerSource, selecting the ‘My Products and Services’ link from the dropdown</w:t>
      </w:r>
    </w:p>
    <w:p>
      <w:pPr>
        <w:pStyle w:val="BodyText"/>
        <w:spacing w:line="234" w:lineRule="exact"/>
        <w:ind w:left="566"/>
        <w:rPr>
          <w:b w:val="0"/>
        </w:rPr>
      </w:pPr>
      <w:r>
        <w:rPr>
          <w:b w:val="0"/>
        </w:rPr>
        <w:t>menu and then clicking on the ‘Registration Keys’ link beside the Microsoft Dynamics 365 Business Central</w:t>
      </w:r>
    </w:p>
    <w:p>
      <w:pPr>
        <w:pStyle w:val="BodyText"/>
        <w:spacing w:line="253" w:lineRule="exact"/>
        <w:ind w:left="566"/>
        <w:rPr>
          <w:b w:val="0"/>
        </w:rPr>
      </w:pPr>
      <w:r>
        <w:rPr>
          <w:b w:val="0"/>
        </w:rPr>
        <w:t>product.</w:t>
      </w:r>
    </w:p>
    <w:p>
      <w:pPr>
        <w:pStyle w:val="BodyText"/>
        <w:spacing w:line="253" w:lineRule="exact" w:before="214"/>
        <w:ind w:left="566"/>
        <w:rPr>
          <w:b w:val="0"/>
        </w:rPr>
      </w:pPr>
      <w:r>
        <w:rPr>
          <w:b w:val="0"/>
        </w:rPr>
        <w:t>Note: The on-premises license file is valid as long as the cloud subscription is active.</w:t>
      </w:r>
    </w:p>
    <w:p>
      <w:pPr>
        <w:pStyle w:val="BodyText"/>
        <w:spacing w:line="216" w:lineRule="auto" w:before="8"/>
        <w:ind w:left="566" w:right="411"/>
        <w:rPr>
          <w:b w:val="0"/>
        </w:rPr>
      </w:pPr>
      <w:r>
        <w:rPr>
          <w:b w:val="0"/>
        </w:rPr>
        <w:t>When you update your online subscription (for example, reduce the user count), you and/or your customer are obligated to download a new on-premises license file from PSBC to reflect the changes made on the cloud subscription.</w:t>
      </w:r>
    </w:p>
    <w:p>
      <w:pPr>
        <w:pStyle w:val="BodyText"/>
        <w:spacing w:before="13"/>
        <w:rPr>
          <w:b w:val="0"/>
          <w:sz w:val="22"/>
        </w:rPr>
      </w:pPr>
    </w:p>
    <w:p>
      <w:pPr>
        <w:pStyle w:val="Heading1"/>
        <w:spacing w:before="0"/>
        <w:rPr>
          <w:b w:val="0"/>
        </w:rPr>
      </w:pPr>
      <w:r>
        <w:rPr>
          <w:b w:val="0"/>
        </w:rPr>
        <w:t>Licensing Programs</w:t>
      </w:r>
    </w:p>
    <w:p>
      <w:pPr>
        <w:pStyle w:val="BodyText"/>
        <w:spacing w:line="216" w:lineRule="auto" w:before="264"/>
        <w:ind w:left="566" w:right="1334"/>
        <w:rPr>
          <w:b w:val="0"/>
        </w:rPr>
      </w:pPr>
      <w:r>
        <w:rPr/>
        <w:pict>
          <v:rect style="position:absolute;margin-left:105.720001pt;margin-top:35.671925pt;width:257.64pt;height:.6pt;mso-position-horizontal-relative:page;mso-position-vertical-relative:paragraph;z-index:15739392" filled="true" fillcolor="#0462c1" stroked="false">
            <v:fill type="solid"/>
            <w10:wrap type="none"/>
          </v:rect>
        </w:pict>
      </w:r>
      <w:r>
        <w:rPr>
          <w:b w:val="0"/>
        </w:rPr>
        <w:t>Microsoft Dynamics Business Central subscriptions are only available through the Cloud Solution Provider program. Visit the </w:t>
      </w:r>
      <w:hyperlink r:id="rId33">
        <w:r>
          <w:rPr>
            <w:b w:val="0"/>
            <w:color w:val="0462C1"/>
          </w:rPr>
          <w:t>https://partner.microsoft.com//en-US/cloud-solution-provider </w:t>
        </w:r>
      </w:hyperlink>
      <w:r>
        <w:rPr>
          <w:b w:val="0"/>
        </w:rPr>
        <w:t>to learn more about CSP.</w:t>
      </w:r>
    </w:p>
    <w:p>
      <w:pPr>
        <w:pStyle w:val="BodyText"/>
        <w:spacing w:before="10"/>
        <w:rPr>
          <w:b w:val="0"/>
          <w:sz w:val="29"/>
        </w:rPr>
      </w:pPr>
    </w:p>
    <w:p>
      <w:pPr>
        <w:pStyle w:val="Heading1"/>
        <w:rPr>
          <w:b w:val="0"/>
        </w:rPr>
      </w:pPr>
      <w:r>
        <w:rPr>
          <w:b w:val="0"/>
        </w:rPr>
        <w:t>International Availability</w:t>
      </w:r>
    </w:p>
    <w:p>
      <w:pPr>
        <w:pStyle w:val="BodyText"/>
        <w:spacing w:before="242"/>
        <w:ind w:left="566"/>
        <w:rPr>
          <w:b w:val="0"/>
        </w:rPr>
      </w:pPr>
      <w:r>
        <w:rPr>
          <w:b w:val="0"/>
        </w:rPr>
        <w:t>Country, language, and localization availability for Dynamics 365 is available </w:t>
      </w:r>
      <w:hyperlink r:id="rId34">
        <w:r>
          <w:rPr>
            <w:b w:val="0"/>
            <w:color w:val="0462C1"/>
            <w:u w:val="single" w:color="0462C1"/>
          </w:rPr>
          <w:t>here</w:t>
        </w:r>
      </w:hyperlink>
      <w:r>
        <w:rPr>
          <w:b w:val="0"/>
        </w:rPr>
        <w:t>.</w:t>
      </w:r>
    </w:p>
    <w:p>
      <w:pPr>
        <w:pStyle w:val="BodyText"/>
        <w:spacing w:before="10"/>
        <w:rPr>
          <w:b w:val="0"/>
          <w:sz w:val="35"/>
        </w:rPr>
      </w:pPr>
    </w:p>
    <w:p>
      <w:pPr>
        <w:pStyle w:val="Heading1"/>
        <w:rPr>
          <w:b w:val="0"/>
        </w:rPr>
      </w:pPr>
      <w:r>
        <w:rPr>
          <w:b w:val="0"/>
        </w:rPr>
        <w:t>Additional Resources</w:t>
      </w:r>
    </w:p>
    <w:p>
      <w:pPr>
        <w:pStyle w:val="BodyText"/>
        <w:spacing w:before="3"/>
        <w:rPr>
          <w:b w:val="0"/>
          <w:sz w:val="22"/>
        </w:rPr>
      </w:pPr>
      <w:r>
        <w:rPr/>
        <w:pict>
          <v:shape style="position:absolute;margin-left:21.124001pt;margin-top:17.239462pt;width:492.05pt;height:.1pt;mso-position-horizontal-relative:page;mso-position-vertical-relative:paragraph;z-index:-15719936;mso-wrap-distance-left:0;mso-wrap-distance-right:0" coordorigin="422,345" coordsize="9841,0" path="m422,345l10263,345e" filled="false" stroked="true" strokeweight="1pt" strokecolor="#5b9bd4">
            <v:path arrowok="t"/>
            <v:stroke dashstyle="solid"/>
            <w10:wrap type="topAndBottom"/>
          </v:shape>
        </w:pict>
      </w:r>
    </w:p>
    <w:p>
      <w:pPr>
        <w:tabs>
          <w:tab w:pos="4861" w:val="left" w:leader="none"/>
        </w:tabs>
        <w:spacing w:before="9" w:after="31"/>
        <w:ind w:left="600" w:right="0" w:firstLine="0"/>
        <w:jc w:val="left"/>
        <w:rPr>
          <w:rFonts w:ascii="Calibri"/>
          <w:b/>
          <w:sz w:val="22"/>
        </w:rPr>
      </w:pPr>
      <w:r>
        <w:rPr>
          <w:rFonts w:ascii="Calibri"/>
          <w:b/>
          <w:sz w:val="22"/>
        </w:rPr>
        <w:t>Microsoft</w:t>
      </w:r>
      <w:r>
        <w:rPr>
          <w:rFonts w:ascii="Calibri"/>
          <w:b/>
          <w:spacing w:val="-1"/>
          <w:sz w:val="22"/>
        </w:rPr>
        <w:t> </w:t>
      </w:r>
      <w:r>
        <w:rPr>
          <w:rFonts w:ascii="Calibri"/>
          <w:b/>
          <w:sz w:val="22"/>
        </w:rPr>
        <w:t>Dynamics</w:t>
      </w:r>
      <w:r>
        <w:rPr>
          <w:rFonts w:ascii="Calibri"/>
          <w:b/>
          <w:spacing w:val="-5"/>
          <w:sz w:val="22"/>
        </w:rPr>
        <w:t> </w:t>
      </w:r>
      <w:r>
        <w:rPr>
          <w:rFonts w:ascii="Calibri"/>
          <w:b/>
          <w:sz w:val="22"/>
        </w:rPr>
        <w:t>Blog</w:t>
        <w:tab/>
      </w:r>
      <w:hyperlink r:id="rId35">
        <w:r>
          <w:rPr>
            <w:rFonts w:ascii="Calibri"/>
            <w:b/>
            <w:color w:val="0462C1"/>
            <w:sz w:val="22"/>
            <w:u w:val="single" w:color="0462C1"/>
          </w:rPr>
          <w:t>https://community.dynamics.com/b/msftdynamicsblog</w:t>
        </w:r>
      </w:hyperlink>
    </w:p>
    <w:p>
      <w:pPr>
        <w:pStyle w:val="BodyText"/>
        <w:ind w:left="412"/>
        <w:rPr>
          <w:rFonts w:ascii="Calibri"/>
        </w:rPr>
      </w:pPr>
      <w:r>
        <w:rPr>
          <w:rFonts w:ascii="Calibri"/>
        </w:rPr>
        <w:pict>
          <v:group style="width:492.05pt;height:22.5pt;mso-position-horizontal-relative:char;mso-position-vertical-relative:line" coordorigin="0,0" coordsize="9841,450">
            <v:shape style="position:absolute;left:0;top:9;width:9841;height:431" coordorigin="0,10" coordsize="9841,431" path="m9840,10l4272,10,0,10,0,440,4272,440,9840,440,9840,10xe" filled="true" fillcolor="#5b9bd4" stroked="false">
              <v:path arrowok="t"/>
              <v:fill opacity="13107f" type="solid"/>
            </v:shape>
            <v:shape style="position:absolute;left:0;top:10;width:9841;height:430" coordorigin="0,10" coordsize="9841,430" path="m0,10l9840,10m0,440l9840,440e" filled="false" stroked="true" strokeweight="1pt" strokecolor="#5b9bd4">
              <v:path arrowok="t"/>
              <v:stroke dashstyle="solid"/>
            </v:shape>
            <v:shape style="position:absolute;left:0;top:20;width:9841;height:410" type="#_x0000_t202" filled="false" stroked="false">
              <v:textbox inset="0,0,0,0">
                <w:txbxContent>
                  <w:p>
                    <w:pPr>
                      <w:tabs>
                        <w:tab w:pos="4438" w:val="left" w:leader="none"/>
                      </w:tabs>
                      <w:spacing w:before="74"/>
                      <w:ind w:left="177" w:right="0" w:firstLine="0"/>
                      <w:jc w:val="left"/>
                      <w:rPr>
                        <w:rFonts w:ascii="Calibri"/>
                        <w:b/>
                        <w:sz w:val="22"/>
                      </w:rPr>
                    </w:pPr>
                    <w:r>
                      <w:rPr>
                        <w:rFonts w:ascii="Calibri"/>
                        <w:b/>
                        <w:sz w:val="22"/>
                      </w:rPr>
                      <w:t>CustomerSource</w:t>
                      <w:tab/>
                    </w:r>
                    <w:hyperlink r:id="rId36">
                      <w:r>
                        <w:rPr>
                          <w:rFonts w:ascii="Calibri"/>
                          <w:b/>
                          <w:color w:val="0462C1"/>
                          <w:sz w:val="22"/>
                          <w:u w:val="single" w:color="0462C1"/>
                        </w:rPr>
                        <w:t>https://mbs.microsoft.com/customersource/</w:t>
                      </w:r>
                    </w:hyperlink>
                  </w:p>
                </w:txbxContent>
              </v:textbox>
              <w10:wrap type="none"/>
            </v:shape>
          </v:group>
        </w:pict>
      </w:r>
      <w:r>
        <w:rPr>
          <w:rFonts w:ascii="Calibri"/>
        </w:rPr>
      </w:r>
    </w:p>
    <w:p>
      <w:pPr>
        <w:pStyle w:val="BodyText"/>
        <w:spacing w:before="8"/>
        <w:rPr>
          <w:rFonts w:ascii="Calibri"/>
          <w:b/>
          <w:sz w:val="5"/>
        </w:rPr>
      </w:pPr>
    </w:p>
    <w:p>
      <w:pPr>
        <w:spacing w:after="0"/>
        <w:rPr>
          <w:rFonts w:ascii="Calibri"/>
          <w:sz w:val="5"/>
        </w:rPr>
        <w:sectPr>
          <w:pgSz w:w="10800" w:h="15600"/>
          <w:pgMar w:header="0" w:footer="0" w:top="660" w:bottom="280" w:left="0" w:right="0"/>
        </w:sectPr>
      </w:pPr>
    </w:p>
    <w:p>
      <w:pPr>
        <w:pStyle w:val="BodyText"/>
        <w:spacing w:before="4"/>
        <w:rPr>
          <w:rFonts w:ascii="Calibri"/>
          <w:b/>
        </w:rPr>
      </w:pPr>
    </w:p>
    <w:p>
      <w:pPr>
        <w:spacing w:line="267" w:lineRule="exact" w:before="0"/>
        <w:ind w:left="600" w:right="0" w:firstLine="0"/>
        <w:jc w:val="left"/>
        <w:rPr>
          <w:rFonts w:ascii="Calibri"/>
          <w:b/>
          <w:sz w:val="22"/>
        </w:rPr>
      </w:pPr>
      <w:r>
        <w:rPr>
          <w:rFonts w:ascii="Calibri"/>
          <w:b/>
          <w:sz w:val="22"/>
        </w:rPr>
        <w:t>Microsoft Downloads Center</w:t>
      </w:r>
    </w:p>
    <w:p>
      <w:pPr>
        <w:spacing w:line="267" w:lineRule="exact" w:before="0"/>
        <w:ind w:left="600" w:right="0" w:firstLine="0"/>
        <w:jc w:val="left"/>
        <w:rPr>
          <w:rFonts w:ascii="Calibri"/>
          <w:b/>
          <w:sz w:val="22"/>
        </w:rPr>
      </w:pPr>
      <w:r>
        <w:rPr>
          <w:rFonts w:ascii="Calibri"/>
          <w:b/>
          <w:sz w:val="22"/>
        </w:rPr>
        <w:t>Cloud Solution Provider Program (MPN)</w:t>
      </w:r>
    </w:p>
    <w:p>
      <w:pPr>
        <w:spacing w:before="56"/>
        <w:ind w:left="567" w:right="0" w:firstLine="0"/>
        <w:jc w:val="left"/>
        <w:rPr>
          <w:rFonts w:ascii="Calibri"/>
          <w:b/>
          <w:sz w:val="22"/>
        </w:rPr>
      </w:pPr>
      <w:r>
        <w:rPr/>
        <w:br w:type="column"/>
      </w:r>
      <w:hyperlink r:id="rId37">
        <w:r>
          <w:rPr>
            <w:rFonts w:ascii="Calibri"/>
            <w:b/>
            <w:color w:val="0462C1"/>
            <w:sz w:val="22"/>
            <w:u w:val="single" w:color="0462C1"/>
          </w:rPr>
          <w:t>http://www.microsoft.com/downloads</w:t>
        </w:r>
      </w:hyperlink>
    </w:p>
    <w:p>
      <w:pPr>
        <w:spacing w:line="267" w:lineRule="exact" w:before="116"/>
        <w:ind w:left="567" w:right="0" w:firstLine="0"/>
        <w:jc w:val="left"/>
        <w:rPr>
          <w:rFonts w:ascii="Calibri"/>
          <w:b/>
          <w:sz w:val="22"/>
        </w:rPr>
      </w:pPr>
      <w:hyperlink r:id="rId38">
        <w:r>
          <w:rPr>
            <w:rFonts w:ascii="Calibri"/>
            <w:b/>
            <w:color w:val="0462C1"/>
            <w:sz w:val="22"/>
            <w:u w:val="single" w:color="0462C1"/>
          </w:rPr>
          <w:t>https://mspartner.microsoft.com/en/us/Pages/solutions</w:t>
        </w:r>
      </w:hyperlink>
    </w:p>
    <w:p>
      <w:pPr>
        <w:spacing w:line="267" w:lineRule="exact" w:before="0"/>
        <w:ind w:left="567" w:right="0" w:firstLine="0"/>
        <w:jc w:val="left"/>
        <w:rPr>
          <w:rFonts w:ascii="Calibri"/>
          <w:b/>
          <w:sz w:val="22"/>
        </w:rPr>
      </w:pPr>
      <w:hyperlink r:id="rId38">
        <w:r>
          <w:rPr>
            <w:rFonts w:ascii="Calibri"/>
            <w:b/>
            <w:color w:val="0462C1"/>
            <w:sz w:val="22"/>
            <w:u w:val="single" w:color="0462C1"/>
          </w:rPr>
          <w:t>/cloud-reseller- overview.aspx</w:t>
        </w:r>
      </w:hyperlink>
    </w:p>
    <w:p>
      <w:pPr>
        <w:spacing w:after="0" w:line="267" w:lineRule="exact"/>
        <w:jc w:val="left"/>
        <w:rPr>
          <w:rFonts w:ascii="Calibri"/>
          <w:sz w:val="22"/>
        </w:rPr>
        <w:sectPr>
          <w:type w:val="continuous"/>
          <w:pgSz w:w="10800" w:h="15600"/>
          <w:pgMar w:top="1480" w:bottom="280" w:left="0" w:right="0"/>
          <w:cols w:num="2" w:equalWidth="0">
            <w:col w:w="4254" w:space="40"/>
            <w:col w:w="6506"/>
          </w:cols>
        </w:sectPr>
      </w:pPr>
    </w:p>
    <w:p>
      <w:pPr>
        <w:pStyle w:val="BodyText"/>
        <w:spacing w:before="1"/>
        <w:rPr>
          <w:rFonts w:ascii="Calibri"/>
          <w:b/>
          <w:sz w:val="11"/>
        </w:rPr>
      </w:pPr>
    </w:p>
    <w:p>
      <w:pPr>
        <w:pStyle w:val="BodyText"/>
        <w:spacing w:line="20" w:lineRule="exact"/>
        <w:ind w:left="412"/>
        <w:rPr>
          <w:rFonts w:ascii="Calibri"/>
          <w:sz w:val="2"/>
        </w:rPr>
      </w:pPr>
      <w:r>
        <w:rPr>
          <w:rFonts w:ascii="Calibri"/>
          <w:sz w:val="2"/>
        </w:rPr>
        <w:pict>
          <v:group style="width:492.05pt;height:1pt;mso-position-horizontal-relative:char;mso-position-vertical-relative:line" coordorigin="0,0" coordsize="9841,20">
            <v:line style="position:absolute" from="0,10" to="9840,10" stroked="true" strokeweight="1pt" strokecolor="#5b9bd4">
              <v:stroke dashstyle="solid"/>
            </v:line>
          </v:group>
        </w:pict>
      </w:r>
      <w:r>
        <w:rPr>
          <w:rFonts w:ascii="Calibri"/>
          <w:sz w:val="2"/>
        </w:rPr>
      </w:r>
    </w:p>
    <w:p>
      <w:pPr>
        <w:spacing w:after="0" w:line="20" w:lineRule="exact"/>
        <w:rPr>
          <w:rFonts w:ascii="Calibri"/>
          <w:sz w:val="2"/>
        </w:rPr>
        <w:sectPr>
          <w:type w:val="continuous"/>
          <w:pgSz w:w="10800" w:h="15600"/>
          <w:pgMar w:top="1480" w:bottom="280" w:left="0" w:right="0"/>
        </w:sectPr>
      </w:pPr>
    </w:p>
    <w:p>
      <w:pPr>
        <w:pStyle w:val="BodyText"/>
        <w:spacing w:before="10"/>
        <w:rPr>
          <w:rFonts w:ascii="Calibri"/>
          <w:b/>
          <w:sz w:val="21"/>
        </w:rPr>
      </w:pPr>
    </w:p>
    <w:p>
      <w:pPr>
        <w:pStyle w:val="Heading1"/>
        <w:spacing w:before="99"/>
        <w:rPr>
          <w:b w:val="0"/>
        </w:rPr>
      </w:pPr>
      <w:r>
        <w:rPr>
          <w:b w:val="0"/>
        </w:rPr>
        <w:t>Appendix A: Essentials Functionality</w:t>
      </w:r>
    </w:p>
    <w:p>
      <w:pPr>
        <w:pStyle w:val="BodyText"/>
        <w:spacing w:before="12"/>
        <w:rPr>
          <w:b w:val="0"/>
          <w:sz w:val="28"/>
        </w:rPr>
      </w:pPr>
    </w:p>
    <w:tbl>
      <w:tblPr>
        <w:tblW w:w="0" w:type="auto"/>
        <w:jc w:val="left"/>
        <w:tblInd w:w="451" w:type="dxa"/>
        <w:tblBorders>
          <w:top w:val="single" w:sz="8" w:space="0" w:color="F9D2B4"/>
          <w:left w:val="single" w:sz="8" w:space="0" w:color="F9D2B4"/>
          <w:bottom w:val="single" w:sz="8" w:space="0" w:color="F9D2B4"/>
          <w:right w:val="single" w:sz="8" w:space="0" w:color="F9D2B4"/>
          <w:insideH w:val="single" w:sz="8" w:space="0" w:color="F9D2B4"/>
          <w:insideV w:val="single" w:sz="8" w:space="0" w:color="F9D2B4"/>
        </w:tblBorders>
        <w:tblLayout w:type="fixed"/>
        <w:tblCellMar>
          <w:top w:w="0" w:type="dxa"/>
          <w:left w:w="0" w:type="dxa"/>
          <w:bottom w:w="0" w:type="dxa"/>
          <w:right w:w="0" w:type="dxa"/>
        </w:tblCellMar>
        <w:tblLook w:val="01E0"/>
      </w:tblPr>
      <w:tblGrid>
        <w:gridCol w:w="3304"/>
        <w:gridCol w:w="3306"/>
        <w:gridCol w:w="3306"/>
      </w:tblGrid>
      <w:tr>
        <w:trPr>
          <w:trHeight w:val="165" w:hRule="atLeast"/>
        </w:trPr>
        <w:tc>
          <w:tcPr>
            <w:tcW w:w="9916" w:type="dxa"/>
            <w:gridSpan w:val="3"/>
            <w:tcBorders>
              <w:bottom w:val="single" w:sz="12" w:space="0" w:color="F8BD8F"/>
            </w:tcBorders>
            <w:shd w:val="clear" w:color="auto" w:fill="E16C08"/>
          </w:tcPr>
          <w:p>
            <w:pPr>
              <w:pStyle w:val="TableParagraph"/>
              <w:spacing w:line="146" w:lineRule="exact"/>
              <w:ind w:left="3675" w:right="3650"/>
              <w:jc w:val="center"/>
              <w:rPr>
                <w:rFonts w:ascii="Segoe UI Semibold"/>
                <w:b/>
                <w:sz w:val="14"/>
              </w:rPr>
            </w:pPr>
            <w:r>
              <w:rPr>
                <w:rFonts w:ascii="Segoe UI Semibold"/>
                <w:b/>
                <w:color w:val="FFFFFF"/>
                <w:sz w:val="14"/>
              </w:rPr>
              <w:t>Financial Management</w:t>
            </w:r>
          </w:p>
        </w:tc>
      </w:tr>
      <w:tr>
        <w:trPr>
          <w:trHeight w:val="164" w:hRule="atLeast"/>
        </w:trPr>
        <w:tc>
          <w:tcPr>
            <w:tcW w:w="3304" w:type="dxa"/>
            <w:tcBorders>
              <w:top w:val="single" w:sz="12" w:space="0" w:color="F8BD8F"/>
            </w:tcBorders>
          </w:tcPr>
          <w:p>
            <w:pPr>
              <w:pStyle w:val="TableParagraph"/>
              <w:spacing w:line="145" w:lineRule="exact"/>
              <w:rPr>
                <w:sz w:val="14"/>
              </w:rPr>
            </w:pPr>
            <w:r>
              <w:rPr>
                <w:sz w:val="14"/>
              </w:rPr>
              <w:t>Basic General Ledger</w:t>
            </w:r>
          </w:p>
        </w:tc>
        <w:tc>
          <w:tcPr>
            <w:tcW w:w="3306" w:type="dxa"/>
            <w:tcBorders>
              <w:top w:val="single" w:sz="12" w:space="0" w:color="F8BD8F"/>
            </w:tcBorders>
          </w:tcPr>
          <w:p>
            <w:pPr>
              <w:pStyle w:val="TableParagraph"/>
              <w:spacing w:line="145" w:lineRule="exact"/>
              <w:ind w:left="109"/>
              <w:rPr>
                <w:sz w:val="14"/>
              </w:rPr>
            </w:pPr>
            <w:r>
              <w:rPr>
                <w:sz w:val="14"/>
              </w:rPr>
              <w:t>Budgets</w:t>
            </w:r>
          </w:p>
        </w:tc>
        <w:tc>
          <w:tcPr>
            <w:tcW w:w="3306" w:type="dxa"/>
            <w:tcBorders>
              <w:top w:val="single" w:sz="12" w:space="0" w:color="F8BD8F"/>
            </w:tcBorders>
          </w:tcPr>
          <w:p>
            <w:pPr>
              <w:pStyle w:val="TableParagraph"/>
              <w:spacing w:line="145" w:lineRule="exact"/>
              <w:ind w:left="110"/>
              <w:rPr>
                <w:sz w:val="14"/>
              </w:rPr>
            </w:pPr>
            <w:r>
              <w:rPr>
                <w:sz w:val="14"/>
              </w:rPr>
              <w:t>Fixed Assets</w:t>
            </w:r>
          </w:p>
        </w:tc>
      </w:tr>
      <w:tr>
        <w:trPr>
          <w:trHeight w:val="170" w:hRule="atLeast"/>
        </w:trPr>
        <w:tc>
          <w:tcPr>
            <w:tcW w:w="3304" w:type="dxa"/>
          </w:tcPr>
          <w:p>
            <w:pPr>
              <w:pStyle w:val="TableParagraph"/>
              <w:rPr>
                <w:sz w:val="14"/>
              </w:rPr>
            </w:pPr>
            <w:r>
              <w:rPr>
                <w:sz w:val="14"/>
              </w:rPr>
              <w:t>Account Schedules</w:t>
            </w:r>
          </w:p>
        </w:tc>
        <w:tc>
          <w:tcPr>
            <w:tcW w:w="3306" w:type="dxa"/>
          </w:tcPr>
          <w:p>
            <w:pPr>
              <w:pStyle w:val="TableParagraph"/>
              <w:ind w:left="109"/>
              <w:rPr>
                <w:sz w:val="14"/>
              </w:rPr>
            </w:pPr>
            <w:r>
              <w:rPr>
                <w:sz w:val="14"/>
              </w:rPr>
              <w:t>Cash Flow Forecast</w:t>
            </w:r>
          </w:p>
        </w:tc>
        <w:tc>
          <w:tcPr>
            <w:tcW w:w="3306" w:type="dxa"/>
          </w:tcPr>
          <w:p>
            <w:pPr>
              <w:pStyle w:val="TableParagraph"/>
              <w:ind w:left="110"/>
              <w:rPr>
                <w:sz w:val="14"/>
              </w:rPr>
            </w:pPr>
            <w:r>
              <w:rPr>
                <w:sz w:val="14"/>
              </w:rPr>
              <w:t>Multiple Currencies</w:t>
            </w:r>
          </w:p>
        </w:tc>
      </w:tr>
      <w:tr>
        <w:trPr>
          <w:trHeight w:val="167" w:hRule="atLeast"/>
        </w:trPr>
        <w:tc>
          <w:tcPr>
            <w:tcW w:w="3304" w:type="dxa"/>
          </w:tcPr>
          <w:p>
            <w:pPr>
              <w:pStyle w:val="TableParagraph"/>
              <w:spacing w:line="148" w:lineRule="exact"/>
              <w:rPr>
                <w:sz w:val="14"/>
              </w:rPr>
            </w:pPr>
            <w:r>
              <w:rPr>
                <w:sz w:val="14"/>
              </w:rPr>
              <w:t>Allocations</w:t>
            </w:r>
          </w:p>
        </w:tc>
        <w:tc>
          <w:tcPr>
            <w:tcW w:w="3306" w:type="dxa"/>
          </w:tcPr>
          <w:p>
            <w:pPr>
              <w:pStyle w:val="TableParagraph"/>
              <w:spacing w:line="148" w:lineRule="exact"/>
              <w:ind w:left="109"/>
              <w:rPr>
                <w:sz w:val="14"/>
              </w:rPr>
            </w:pPr>
            <w:r>
              <w:rPr>
                <w:sz w:val="14"/>
              </w:rPr>
              <w:t>Check Writing</w:t>
            </w:r>
          </w:p>
        </w:tc>
        <w:tc>
          <w:tcPr>
            <w:tcW w:w="3306" w:type="dxa"/>
          </w:tcPr>
          <w:p>
            <w:pPr>
              <w:pStyle w:val="TableParagraph"/>
              <w:spacing w:line="148" w:lineRule="exact"/>
              <w:ind w:left="110"/>
              <w:rPr>
                <w:sz w:val="14"/>
              </w:rPr>
            </w:pPr>
            <w:r>
              <w:rPr>
                <w:sz w:val="14"/>
              </w:rPr>
              <w:t>Payment Handling</w:t>
            </w:r>
          </w:p>
        </w:tc>
      </w:tr>
      <w:tr>
        <w:trPr>
          <w:trHeight w:val="170" w:hRule="atLeast"/>
        </w:trPr>
        <w:tc>
          <w:tcPr>
            <w:tcW w:w="3304" w:type="dxa"/>
          </w:tcPr>
          <w:p>
            <w:pPr>
              <w:pStyle w:val="TableParagraph"/>
              <w:rPr>
                <w:sz w:val="14"/>
              </w:rPr>
            </w:pPr>
            <w:r>
              <w:rPr>
                <w:sz w:val="14"/>
              </w:rPr>
              <w:t>Bank Account Management</w:t>
            </w:r>
          </w:p>
        </w:tc>
        <w:tc>
          <w:tcPr>
            <w:tcW w:w="3306" w:type="dxa"/>
          </w:tcPr>
          <w:p>
            <w:pPr>
              <w:pStyle w:val="TableParagraph"/>
              <w:ind w:left="109"/>
              <w:rPr>
                <w:sz w:val="14"/>
              </w:rPr>
            </w:pPr>
            <w:r>
              <w:rPr>
                <w:sz w:val="14"/>
              </w:rPr>
              <w:t>Consolidation</w:t>
            </w:r>
          </w:p>
        </w:tc>
        <w:tc>
          <w:tcPr>
            <w:tcW w:w="3306" w:type="dxa"/>
          </w:tcPr>
          <w:p>
            <w:pPr>
              <w:pStyle w:val="TableParagraph"/>
              <w:ind w:left="110"/>
              <w:rPr>
                <w:sz w:val="14"/>
              </w:rPr>
            </w:pPr>
            <w:r>
              <w:rPr>
                <w:sz w:val="14"/>
              </w:rPr>
              <w:t>Responsibility Centers</w:t>
            </w:r>
          </w:p>
        </w:tc>
      </w:tr>
      <w:tr>
        <w:trPr>
          <w:trHeight w:val="170" w:hRule="atLeast"/>
        </w:trPr>
        <w:tc>
          <w:tcPr>
            <w:tcW w:w="3304" w:type="dxa"/>
          </w:tcPr>
          <w:p>
            <w:pPr>
              <w:pStyle w:val="TableParagraph"/>
              <w:rPr>
                <w:sz w:val="14"/>
              </w:rPr>
            </w:pPr>
            <w:r>
              <w:rPr>
                <w:sz w:val="14"/>
              </w:rPr>
              <w:t>Bank Reconciliation</w:t>
            </w:r>
          </w:p>
        </w:tc>
        <w:tc>
          <w:tcPr>
            <w:tcW w:w="3306" w:type="dxa"/>
          </w:tcPr>
          <w:p>
            <w:pPr>
              <w:pStyle w:val="TableParagraph"/>
              <w:ind w:left="109"/>
              <w:rPr>
                <w:sz w:val="14"/>
              </w:rPr>
            </w:pPr>
            <w:r>
              <w:rPr>
                <w:sz w:val="14"/>
              </w:rPr>
              <w:t>Deferrals</w:t>
            </w:r>
          </w:p>
        </w:tc>
        <w:tc>
          <w:tcPr>
            <w:tcW w:w="3306" w:type="dxa"/>
          </w:tcPr>
          <w:p>
            <w:pPr>
              <w:pStyle w:val="TableParagraph"/>
              <w:ind w:left="110"/>
              <w:rPr>
                <w:sz w:val="14"/>
              </w:rPr>
            </w:pPr>
            <w:r>
              <w:rPr>
                <w:sz w:val="14"/>
              </w:rPr>
              <w:t>Unlimited Dimensions</w:t>
            </w:r>
          </w:p>
        </w:tc>
      </w:tr>
      <w:tr>
        <w:trPr>
          <w:trHeight w:val="170" w:hRule="atLeast"/>
        </w:trPr>
        <w:tc>
          <w:tcPr>
            <w:tcW w:w="3304" w:type="dxa"/>
          </w:tcPr>
          <w:p>
            <w:pPr>
              <w:pStyle w:val="TableParagraph"/>
              <w:rPr>
                <w:sz w:val="14"/>
              </w:rPr>
            </w:pPr>
            <w:r>
              <w:rPr>
                <w:sz w:val="14"/>
              </w:rPr>
              <w:t>Basic XBRL</w:t>
            </w:r>
          </w:p>
        </w:tc>
        <w:tc>
          <w:tcPr>
            <w:tcW w:w="3306" w:type="dxa"/>
          </w:tcPr>
          <w:p>
            <w:pPr>
              <w:pStyle w:val="TableParagraph"/>
              <w:ind w:left="109"/>
              <w:rPr>
                <w:sz w:val="14"/>
              </w:rPr>
            </w:pPr>
            <w:r>
              <w:rPr>
                <w:sz w:val="14"/>
              </w:rPr>
              <w:t>Electronic Payment/Direct Debits</w:t>
            </w:r>
          </w:p>
        </w:tc>
        <w:tc>
          <w:tcPr>
            <w:tcW w:w="3306" w:type="dxa"/>
          </w:tcPr>
          <w:p>
            <w:pPr>
              <w:pStyle w:val="TableParagraph"/>
              <w:spacing w:line="240" w:lineRule="auto"/>
              <w:ind w:left="0"/>
              <w:rPr>
                <w:rFonts w:ascii="Times New Roman"/>
                <w:sz w:val="10"/>
              </w:rPr>
            </w:pPr>
          </w:p>
        </w:tc>
      </w:tr>
      <w:tr>
        <w:trPr>
          <w:trHeight w:val="170" w:hRule="atLeast"/>
        </w:trPr>
        <w:tc>
          <w:tcPr>
            <w:tcW w:w="9916" w:type="dxa"/>
            <w:gridSpan w:val="3"/>
            <w:shd w:val="clear" w:color="auto" w:fill="E16C08"/>
          </w:tcPr>
          <w:p>
            <w:pPr>
              <w:pStyle w:val="TableParagraph"/>
              <w:ind w:left="3675" w:right="3657"/>
              <w:jc w:val="center"/>
              <w:rPr>
                <w:rFonts w:ascii="Segoe UI Semibold"/>
                <w:b/>
                <w:sz w:val="14"/>
              </w:rPr>
            </w:pPr>
            <w:r>
              <w:rPr>
                <w:rFonts w:ascii="Segoe UI Semibold"/>
                <w:b/>
                <w:color w:val="FFFFFF"/>
                <w:sz w:val="14"/>
              </w:rPr>
              <w:t>Advanced Financial Management</w:t>
            </w:r>
          </w:p>
        </w:tc>
      </w:tr>
      <w:tr>
        <w:trPr>
          <w:trHeight w:val="198" w:hRule="atLeast"/>
        </w:trPr>
        <w:tc>
          <w:tcPr>
            <w:tcW w:w="3304" w:type="dxa"/>
          </w:tcPr>
          <w:p>
            <w:pPr>
              <w:pStyle w:val="TableParagraph"/>
              <w:spacing w:line="177" w:lineRule="exact" w:before="1"/>
              <w:rPr>
                <w:sz w:val="14"/>
              </w:rPr>
            </w:pPr>
            <w:r>
              <w:rPr>
                <w:sz w:val="14"/>
              </w:rPr>
              <w:t>Cost Accounting</w:t>
            </w:r>
          </w:p>
        </w:tc>
        <w:tc>
          <w:tcPr>
            <w:tcW w:w="3306" w:type="dxa"/>
          </w:tcPr>
          <w:p>
            <w:pPr>
              <w:pStyle w:val="TableParagraph"/>
              <w:spacing w:line="177" w:lineRule="exact" w:before="1"/>
              <w:ind w:left="109"/>
              <w:rPr>
                <w:sz w:val="14"/>
              </w:rPr>
            </w:pPr>
            <w:r>
              <w:rPr>
                <w:sz w:val="14"/>
              </w:rPr>
              <w:t>Inter-company Postings</w:t>
            </w:r>
          </w:p>
        </w:tc>
        <w:tc>
          <w:tcPr>
            <w:tcW w:w="3306" w:type="dxa"/>
          </w:tcPr>
          <w:p>
            <w:pPr>
              <w:pStyle w:val="TableParagraph"/>
              <w:spacing w:line="240" w:lineRule="auto"/>
              <w:ind w:left="0"/>
              <w:rPr>
                <w:rFonts w:ascii="Times New Roman"/>
                <w:sz w:val="12"/>
              </w:rPr>
            </w:pPr>
          </w:p>
        </w:tc>
      </w:tr>
      <w:tr>
        <w:trPr>
          <w:trHeight w:val="198" w:hRule="atLeast"/>
        </w:trPr>
        <w:tc>
          <w:tcPr>
            <w:tcW w:w="9916" w:type="dxa"/>
            <w:gridSpan w:val="3"/>
            <w:shd w:val="clear" w:color="auto" w:fill="E16C08"/>
          </w:tcPr>
          <w:p>
            <w:pPr>
              <w:pStyle w:val="TableParagraph"/>
              <w:spacing w:line="169" w:lineRule="exact" w:before="9"/>
              <w:ind w:left="3675" w:right="3654"/>
              <w:jc w:val="center"/>
              <w:rPr>
                <w:rFonts w:ascii="Segoe UI Semibold"/>
                <w:b/>
                <w:sz w:val="14"/>
              </w:rPr>
            </w:pPr>
            <w:r>
              <w:rPr>
                <w:rFonts w:ascii="Segoe UI Semibold"/>
                <w:b/>
                <w:color w:val="FFFFFF"/>
                <w:sz w:val="14"/>
              </w:rPr>
              <w:t>Artificial Intelligence*</w:t>
            </w:r>
          </w:p>
        </w:tc>
      </w:tr>
      <w:tr>
        <w:trPr>
          <w:trHeight w:val="198" w:hRule="atLeast"/>
        </w:trPr>
        <w:tc>
          <w:tcPr>
            <w:tcW w:w="3304" w:type="dxa"/>
          </w:tcPr>
          <w:p>
            <w:pPr>
              <w:pStyle w:val="TableParagraph"/>
              <w:spacing w:line="177" w:lineRule="exact" w:before="1"/>
              <w:rPr>
                <w:sz w:val="14"/>
              </w:rPr>
            </w:pPr>
            <w:r>
              <w:rPr>
                <w:sz w:val="14"/>
              </w:rPr>
              <w:t>Cash Flow Forecast</w:t>
            </w:r>
          </w:p>
        </w:tc>
        <w:tc>
          <w:tcPr>
            <w:tcW w:w="3306" w:type="dxa"/>
          </w:tcPr>
          <w:p>
            <w:pPr>
              <w:pStyle w:val="TableParagraph"/>
              <w:spacing w:line="177" w:lineRule="exact" w:before="1"/>
              <w:ind w:left="109"/>
              <w:rPr>
                <w:sz w:val="14"/>
              </w:rPr>
            </w:pPr>
            <w:r>
              <w:rPr>
                <w:sz w:val="14"/>
              </w:rPr>
              <w:t>Inventory Forecast</w:t>
            </w:r>
          </w:p>
        </w:tc>
        <w:tc>
          <w:tcPr>
            <w:tcW w:w="3306" w:type="dxa"/>
          </w:tcPr>
          <w:p>
            <w:pPr>
              <w:pStyle w:val="TableParagraph"/>
              <w:spacing w:line="177" w:lineRule="exact" w:before="1"/>
              <w:ind w:left="110"/>
              <w:rPr>
                <w:sz w:val="14"/>
              </w:rPr>
            </w:pPr>
            <w:r>
              <w:rPr>
                <w:sz w:val="14"/>
              </w:rPr>
              <w:t>Sales Forecast</w:t>
            </w:r>
          </w:p>
        </w:tc>
      </w:tr>
      <w:tr>
        <w:trPr>
          <w:trHeight w:val="200" w:hRule="atLeast"/>
        </w:trPr>
        <w:tc>
          <w:tcPr>
            <w:tcW w:w="3304" w:type="dxa"/>
          </w:tcPr>
          <w:p>
            <w:pPr>
              <w:pStyle w:val="TableParagraph"/>
              <w:spacing w:line="178" w:lineRule="exact" w:before="2"/>
              <w:rPr>
                <w:sz w:val="14"/>
              </w:rPr>
            </w:pPr>
            <w:r>
              <w:rPr>
                <w:sz w:val="14"/>
              </w:rPr>
              <w:t>Image Recognition</w:t>
            </w:r>
          </w:p>
        </w:tc>
        <w:tc>
          <w:tcPr>
            <w:tcW w:w="3306" w:type="dxa"/>
          </w:tcPr>
          <w:p>
            <w:pPr>
              <w:pStyle w:val="TableParagraph"/>
              <w:spacing w:line="178" w:lineRule="exact" w:before="2"/>
              <w:ind w:left="109"/>
              <w:rPr>
                <w:sz w:val="14"/>
              </w:rPr>
            </w:pPr>
            <w:r>
              <w:rPr>
                <w:sz w:val="14"/>
              </w:rPr>
              <w:t>Late Payment Prediction</w:t>
            </w:r>
          </w:p>
        </w:tc>
        <w:tc>
          <w:tcPr>
            <w:tcW w:w="3306" w:type="dxa"/>
          </w:tcPr>
          <w:p>
            <w:pPr>
              <w:pStyle w:val="TableParagraph"/>
              <w:spacing w:line="240" w:lineRule="auto"/>
              <w:ind w:left="0"/>
              <w:rPr>
                <w:rFonts w:ascii="Times New Roman"/>
                <w:sz w:val="12"/>
              </w:rPr>
            </w:pPr>
          </w:p>
        </w:tc>
      </w:tr>
      <w:tr>
        <w:trPr>
          <w:trHeight w:val="198" w:hRule="atLeast"/>
        </w:trPr>
        <w:tc>
          <w:tcPr>
            <w:tcW w:w="9916" w:type="dxa"/>
            <w:gridSpan w:val="3"/>
            <w:shd w:val="clear" w:color="auto" w:fill="E16C08"/>
          </w:tcPr>
          <w:p>
            <w:pPr>
              <w:pStyle w:val="TableParagraph"/>
              <w:spacing w:line="169" w:lineRule="exact" w:before="9"/>
              <w:ind w:left="3675" w:right="3655"/>
              <w:jc w:val="center"/>
              <w:rPr>
                <w:rFonts w:ascii="Segoe UI Semibold"/>
                <w:b/>
                <w:sz w:val="14"/>
              </w:rPr>
            </w:pPr>
            <w:r>
              <w:rPr>
                <w:rFonts w:ascii="Segoe UI Semibold"/>
                <w:b/>
                <w:color w:val="FFFFFF"/>
                <w:sz w:val="14"/>
              </w:rPr>
              <w:t>Customer Relationship Management</w:t>
            </w:r>
          </w:p>
        </w:tc>
      </w:tr>
      <w:tr>
        <w:trPr>
          <w:trHeight w:val="198" w:hRule="atLeast"/>
        </w:trPr>
        <w:tc>
          <w:tcPr>
            <w:tcW w:w="3304" w:type="dxa"/>
          </w:tcPr>
          <w:p>
            <w:pPr>
              <w:pStyle w:val="TableParagraph"/>
              <w:spacing w:line="176" w:lineRule="exact" w:before="2"/>
              <w:rPr>
                <w:sz w:val="14"/>
              </w:rPr>
            </w:pPr>
            <w:r>
              <w:rPr>
                <w:sz w:val="14"/>
              </w:rPr>
              <w:t>Business Inbox for Outlook</w:t>
            </w:r>
          </w:p>
        </w:tc>
        <w:tc>
          <w:tcPr>
            <w:tcW w:w="3306" w:type="dxa"/>
          </w:tcPr>
          <w:p>
            <w:pPr>
              <w:pStyle w:val="TableParagraph"/>
              <w:spacing w:line="176" w:lineRule="exact" w:before="2"/>
              <w:ind w:left="109"/>
              <w:rPr>
                <w:sz w:val="14"/>
              </w:rPr>
            </w:pPr>
            <w:r>
              <w:rPr>
                <w:sz w:val="14"/>
              </w:rPr>
              <w:t>Contact Management</w:t>
            </w:r>
          </w:p>
        </w:tc>
        <w:tc>
          <w:tcPr>
            <w:tcW w:w="3306" w:type="dxa"/>
          </w:tcPr>
          <w:p>
            <w:pPr>
              <w:pStyle w:val="TableParagraph"/>
              <w:spacing w:line="176" w:lineRule="exact" w:before="2"/>
              <w:ind w:left="110"/>
              <w:rPr>
                <w:sz w:val="14"/>
              </w:rPr>
            </w:pPr>
            <w:r>
              <w:rPr>
                <w:sz w:val="14"/>
              </w:rPr>
              <w:t>Opportunity Management</w:t>
            </w:r>
          </w:p>
        </w:tc>
      </w:tr>
      <w:tr>
        <w:trPr>
          <w:trHeight w:val="198" w:hRule="atLeast"/>
        </w:trPr>
        <w:tc>
          <w:tcPr>
            <w:tcW w:w="3304" w:type="dxa"/>
          </w:tcPr>
          <w:p>
            <w:pPr>
              <w:pStyle w:val="TableParagraph"/>
              <w:spacing w:line="177" w:lineRule="exact" w:before="2"/>
              <w:rPr>
                <w:sz w:val="14"/>
              </w:rPr>
            </w:pPr>
            <w:r>
              <w:rPr>
                <w:sz w:val="14"/>
              </w:rPr>
              <w:t>Campaign Management</w:t>
            </w:r>
          </w:p>
        </w:tc>
        <w:tc>
          <w:tcPr>
            <w:tcW w:w="3306" w:type="dxa"/>
          </w:tcPr>
          <w:p>
            <w:pPr>
              <w:pStyle w:val="TableParagraph"/>
              <w:spacing w:line="177" w:lineRule="exact" w:before="2"/>
              <w:ind w:left="109"/>
              <w:rPr>
                <w:sz w:val="14"/>
              </w:rPr>
            </w:pPr>
            <w:r>
              <w:rPr>
                <w:sz w:val="14"/>
              </w:rPr>
              <w:t>Dynamics 365 Sales Integration^</w:t>
            </w:r>
          </w:p>
        </w:tc>
        <w:tc>
          <w:tcPr>
            <w:tcW w:w="3306" w:type="dxa"/>
          </w:tcPr>
          <w:p>
            <w:pPr>
              <w:pStyle w:val="TableParagraph"/>
              <w:spacing w:line="177" w:lineRule="exact" w:before="2"/>
              <w:ind w:left="110"/>
              <w:rPr>
                <w:sz w:val="14"/>
              </w:rPr>
            </w:pPr>
            <w:r>
              <w:rPr>
                <w:sz w:val="14"/>
              </w:rPr>
              <w:t>Relationship Management</w:t>
            </w:r>
          </w:p>
        </w:tc>
      </w:tr>
      <w:tr>
        <w:trPr>
          <w:trHeight w:val="200" w:hRule="atLeast"/>
        </w:trPr>
        <w:tc>
          <w:tcPr>
            <w:tcW w:w="3304" w:type="dxa"/>
          </w:tcPr>
          <w:p>
            <w:pPr>
              <w:pStyle w:val="TableParagraph"/>
              <w:spacing w:line="177" w:lineRule="exact" w:before="2"/>
              <w:rPr>
                <w:sz w:val="14"/>
              </w:rPr>
            </w:pPr>
            <w:r>
              <w:rPr>
                <w:sz w:val="14"/>
              </w:rPr>
              <w:t>Campaign Pricing</w:t>
            </w:r>
          </w:p>
        </w:tc>
        <w:tc>
          <w:tcPr>
            <w:tcW w:w="3306" w:type="dxa"/>
          </w:tcPr>
          <w:p>
            <w:pPr>
              <w:pStyle w:val="TableParagraph"/>
              <w:spacing w:line="177" w:lineRule="exact" w:before="2"/>
              <w:ind w:left="109"/>
              <w:rPr>
                <w:sz w:val="14"/>
              </w:rPr>
            </w:pPr>
            <w:r>
              <w:rPr>
                <w:sz w:val="14"/>
              </w:rPr>
              <w:t>Email Logging</w:t>
            </w:r>
          </w:p>
        </w:tc>
        <w:tc>
          <w:tcPr>
            <w:tcW w:w="3306" w:type="dxa"/>
          </w:tcPr>
          <w:p>
            <w:pPr>
              <w:pStyle w:val="TableParagraph"/>
              <w:spacing w:line="177" w:lineRule="exact" w:before="2"/>
              <w:ind w:left="110"/>
              <w:rPr>
                <w:sz w:val="14"/>
              </w:rPr>
            </w:pPr>
            <w:r>
              <w:rPr>
                <w:sz w:val="14"/>
              </w:rPr>
              <w:t>Task Management</w:t>
            </w:r>
          </w:p>
        </w:tc>
      </w:tr>
      <w:tr>
        <w:trPr>
          <w:trHeight w:val="198" w:hRule="atLeast"/>
        </w:trPr>
        <w:tc>
          <w:tcPr>
            <w:tcW w:w="3304" w:type="dxa"/>
          </w:tcPr>
          <w:p>
            <w:pPr>
              <w:pStyle w:val="TableParagraph"/>
              <w:spacing w:line="176" w:lineRule="exact" w:before="2"/>
              <w:rPr>
                <w:sz w:val="14"/>
              </w:rPr>
            </w:pPr>
            <w:r>
              <w:rPr>
                <w:sz w:val="14"/>
              </w:rPr>
              <w:t>Contact Classification</w:t>
            </w:r>
          </w:p>
        </w:tc>
        <w:tc>
          <w:tcPr>
            <w:tcW w:w="3306" w:type="dxa"/>
          </w:tcPr>
          <w:p>
            <w:pPr>
              <w:pStyle w:val="TableParagraph"/>
              <w:spacing w:line="176" w:lineRule="exact" w:before="2"/>
              <w:ind w:left="109"/>
              <w:rPr>
                <w:sz w:val="14"/>
              </w:rPr>
            </w:pPr>
            <w:r>
              <w:rPr>
                <w:sz w:val="14"/>
              </w:rPr>
              <w:t>Interaction / Document Management</w:t>
            </w:r>
          </w:p>
        </w:tc>
        <w:tc>
          <w:tcPr>
            <w:tcW w:w="3306" w:type="dxa"/>
          </w:tcPr>
          <w:p>
            <w:pPr>
              <w:pStyle w:val="TableParagraph"/>
              <w:spacing w:line="240" w:lineRule="auto"/>
              <w:ind w:left="0"/>
              <w:rPr>
                <w:rFonts w:ascii="Times New Roman"/>
                <w:sz w:val="12"/>
              </w:rPr>
            </w:pPr>
          </w:p>
        </w:tc>
      </w:tr>
      <w:tr>
        <w:trPr>
          <w:trHeight w:val="198" w:hRule="atLeast"/>
        </w:trPr>
        <w:tc>
          <w:tcPr>
            <w:tcW w:w="9916" w:type="dxa"/>
            <w:gridSpan w:val="3"/>
            <w:shd w:val="clear" w:color="auto" w:fill="E16C08"/>
          </w:tcPr>
          <w:p>
            <w:pPr>
              <w:pStyle w:val="TableParagraph"/>
              <w:spacing w:line="176" w:lineRule="exact" w:before="2"/>
              <w:ind w:left="3675" w:right="3641"/>
              <w:jc w:val="center"/>
              <w:rPr>
                <w:sz w:val="14"/>
              </w:rPr>
            </w:pPr>
            <w:r>
              <w:rPr>
                <w:color w:val="FFFFFF"/>
                <w:sz w:val="14"/>
              </w:rPr>
              <w:t>E-Services</w:t>
            </w:r>
          </w:p>
        </w:tc>
      </w:tr>
      <w:tr>
        <w:trPr>
          <w:trHeight w:val="198" w:hRule="atLeast"/>
        </w:trPr>
        <w:tc>
          <w:tcPr>
            <w:tcW w:w="3304" w:type="dxa"/>
          </w:tcPr>
          <w:p>
            <w:pPr>
              <w:pStyle w:val="TableParagraph"/>
              <w:spacing w:line="176" w:lineRule="exact" w:before="2"/>
              <w:rPr>
                <w:sz w:val="14"/>
              </w:rPr>
            </w:pPr>
            <w:r>
              <w:rPr>
                <w:sz w:val="14"/>
              </w:rPr>
              <w:t>Document Exchange Service</w:t>
            </w:r>
          </w:p>
        </w:tc>
        <w:tc>
          <w:tcPr>
            <w:tcW w:w="3306" w:type="dxa"/>
          </w:tcPr>
          <w:p>
            <w:pPr>
              <w:pStyle w:val="TableParagraph"/>
              <w:spacing w:line="176" w:lineRule="exact" w:before="2"/>
              <w:ind w:left="109"/>
              <w:rPr>
                <w:sz w:val="14"/>
              </w:rPr>
            </w:pPr>
            <w:r>
              <w:rPr>
                <w:sz w:val="14"/>
              </w:rPr>
              <w:t>Bank Feeds (US, CA, UK)</w:t>
            </w:r>
          </w:p>
        </w:tc>
        <w:tc>
          <w:tcPr>
            <w:tcW w:w="3306" w:type="dxa"/>
          </w:tcPr>
          <w:p>
            <w:pPr>
              <w:pStyle w:val="TableParagraph"/>
              <w:spacing w:line="176" w:lineRule="exact" w:before="2"/>
              <w:ind w:left="110"/>
              <w:rPr>
                <w:sz w:val="14"/>
              </w:rPr>
            </w:pPr>
            <w:r>
              <w:rPr>
                <w:sz w:val="14"/>
              </w:rPr>
              <w:t>Online Map</w:t>
            </w:r>
          </w:p>
        </w:tc>
      </w:tr>
      <w:tr>
        <w:trPr>
          <w:trHeight w:val="361" w:hRule="atLeast"/>
        </w:trPr>
        <w:tc>
          <w:tcPr>
            <w:tcW w:w="3304" w:type="dxa"/>
          </w:tcPr>
          <w:p>
            <w:pPr>
              <w:pStyle w:val="TableParagraph"/>
              <w:spacing w:line="240" w:lineRule="auto" w:before="98"/>
              <w:rPr>
                <w:sz w:val="14"/>
              </w:rPr>
            </w:pPr>
            <w:r>
              <w:rPr>
                <w:sz w:val="14"/>
              </w:rPr>
              <w:t>Document Management, Document Capture</w:t>
            </w:r>
          </w:p>
        </w:tc>
        <w:tc>
          <w:tcPr>
            <w:tcW w:w="3306" w:type="dxa"/>
          </w:tcPr>
          <w:p>
            <w:pPr>
              <w:pStyle w:val="TableParagraph"/>
              <w:spacing w:line="240" w:lineRule="auto" w:before="83"/>
              <w:ind w:left="109"/>
              <w:rPr>
                <w:sz w:val="14"/>
              </w:rPr>
            </w:pPr>
            <w:r>
              <w:rPr>
                <w:sz w:val="14"/>
              </w:rPr>
              <w:t>Microsoft Pay (credit cards and PayPal)</w:t>
            </w:r>
          </w:p>
        </w:tc>
        <w:tc>
          <w:tcPr>
            <w:tcW w:w="3306" w:type="dxa"/>
          </w:tcPr>
          <w:p>
            <w:pPr>
              <w:pStyle w:val="TableParagraph"/>
              <w:spacing w:line="240" w:lineRule="auto" w:before="83"/>
              <w:ind w:left="110"/>
              <w:rPr>
                <w:sz w:val="14"/>
              </w:rPr>
            </w:pPr>
            <w:r>
              <w:rPr>
                <w:sz w:val="14"/>
              </w:rPr>
              <w:t>Tax. Reg. No. Validation Service (EU)</w:t>
            </w:r>
          </w:p>
        </w:tc>
      </w:tr>
      <w:tr>
        <w:trPr>
          <w:trHeight w:val="168" w:hRule="atLeast"/>
        </w:trPr>
        <w:tc>
          <w:tcPr>
            <w:tcW w:w="9916" w:type="dxa"/>
            <w:gridSpan w:val="3"/>
            <w:shd w:val="clear" w:color="auto" w:fill="E16C08"/>
          </w:tcPr>
          <w:p>
            <w:pPr>
              <w:pStyle w:val="TableParagraph"/>
              <w:spacing w:line="149" w:lineRule="exact"/>
              <w:ind w:left="3674" w:right="3657"/>
              <w:jc w:val="center"/>
              <w:rPr>
                <w:rFonts w:ascii="Segoe UI Semibold"/>
                <w:b/>
                <w:sz w:val="14"/>
              </w:rPr>
            </w:pPr>
            <w:r>
              <w:rPr>
                <w:rFonts w:ascii="Segoe UI Semibold"/>
                <w:b/>
                <w:color w:val="FFFFFF"/>
                <w:sz w:val="14"/>
              </w:rPr>
              <w:t>Human Resources Management</w:t>
            </w:r>
          </w:p>
        </w:tc>
      </w:tr>
      <w:tr>
        <w:trPr>
          <w:trHeight w:val="170" w:hRule="atLeast"/>
        </w:trPr>
        <w:tc>
          <w:tcPr>
            <w:tcW w:w="3304" w:type="dxa"/>
          </w:tcPr>
          <w:p>
            <w:pPr>
              <w:pStyle w:val="TableParagraph"/>
              <w:rPr>
                <w:sz w:val="14"/>
              </w:rPr>
            </w:pPr>
            <w:r>
              <w:rPr>
                <w:sz w:val="14"/>
              </w:rPr>
              <w:t>Basic Human Resources</w:t>
            </w:r>
          </w:p>
        </w:tc>
        <w:tc>
          <w:tcPr>
            <w:tcW w:w="3306" w:type="dxa"/>
          </w:tcPr>
          <w:p>
            <w:pPr>
              <w:pStyle w:val="TableParagraph"/>
              <w:spacing w:line="240" w:lineRule="auto"/>
              <w:ind w:left="0"/>
              <w:rPr>
                <w:rFonts w:ascii="Times New Roman"/>
                <w:sz w:val="10"/>
              </w:rPr>
            </w:pPr>
          </w:p>
        </w:tc>
        <w:tc>
          <w:tcPr>
            <w:tcW w:w="3306" w:type="dxa"/>
          </w:tcPr>
          <w:p>
            <w:pPr>
              <w:pStyle w:val="TableParagraph"/>
              <w:spacing w:line="240" w:lineRule="auto"/>
              <w:ind w:left="0"/>
              <w:rPr>
                <w:rFonts w:ascii="Times New Roman"/>
                <w:sz w:val="10"/>
              </w:rPr>
            </w:pPr>
          </w:p>
        </w:tc>
      </w:tr>
      <w:tr>
        <w:trPr>
          <w:trHeight w:val="168" w:hRule="atLeast"/>
        </w:trPr>
        <w:tc>
          <w:tcPr>
            <w:tcW w:w="9916" w:type="dxa"/>
            <w:gridSpan w:val="3"/>
            <w:shd w:val="clear" w:color="auto" w:fill="E16C08"/>
          </w:tcPr>
          <w:p>
            <w:pPr>
              <w:pStyle w:val="TableParagraph"/>
              <w:spacing w:line="148" w:lineRule="exact"/>
              <w:ind w:left="3675" w:right="3655"/>
              <w:jc w:val="center"/>
              <w:rPr>
                <w:rFonts w:ascii="Segoe UI Semibold"/>
                <w:b/>
                <w:sz w:val="14"/>
              </w:rPr>
            </w:pPr>
            <w:r>
              <w:rPr>
                <w:rFonts w:ascii="Segoe UI Semibold"/>
                <w:b/>
                <w:color w:val="FFFFFF"/>
                <w:sz w:val="14"/>
              </w:rPr>
              <w:t>Project Management</w:t>
            </w:r>
          </w:p>
        </w:tc>
      </w:tr>
      <w:tr>
        <w:trPr>
          <w:trHeight w:val="170" w:hRule="atLeast"/>
        </w:trPr>
        <w:tc>
          <w:tcPr>
            <w:tcW w:w="3304" w:type="dxa"/>
          </w:tcPr>
          <w:p>
            <w:pPr>
              <w:pStyle w:val="TableParagraph"/>
              <w:rPr>
                <w:sz w:val="14"/>
              </w:rPr>
            </w:pPr>
            <w:r>
              <w:rPr>
                <w:sz w:val="14"/>
              </w:rPr>
              <w:t>Basic Resources</w:t>
            </w:r>
          </w:p>
        </w:tc>
        <w:tc>
          <w:tcPr>
            <w:tcW w:w="3306" w:type="dxa"/>
          </w:tcPr>
          <w:p>
            <w:pPr>
              <w:pStyle w:val="TableParagraph"/>
              <w:ind w:left="109"/>
              <w:rPr>
                <w:sz w:val="14"/>
              </w:rPr>
            </w:pPr>
            <w:r>
              <w:rPr>
                <w:sz w:val="14"/>
              </w:rPr>
              <w:t>Job Quotes</w:t>
            </w:r>
          </w:p>
        </w:tc>
        <w:tc>
          <w:tcPr>
            <w:tcW w:w="3306" w:type="dxa"/>
          </w:tcPr>
          <w:p>
            <w:pPr>
              <w:pStyle w:val="TableParagraph"/>
              <w:ind w:left="110"/>
              <w:rPr>
                <w:sz w:val="14"/>
              </w:rPr>
            </w:pPr>
            <w:r>
              <w:rPr>
                <w:sz w:val="14"/>
              </w:rPr>
              <w:t>Project Management Jobs</w:t>
            </w:r>
          </w:p>
        </w:tc>
      </w:tr>
      <w:tr>
        <w:trPr>
          <w:trHeight w:val="170" w:hRule="atLeast"/>
        </w:trPr>
        <w:tc>
          <w:tcPr>
            <w:tcW w:w="3304" w:type="dxa"/>
          </w:tcPr>
          <w:p>
            <w:pPr>
              <w:pStyle w:val="TableParagraph"/>
              <w:rPr>
                <w:sz w:val="14"/>
              </w:rPr>
            </w:pPr>
            <w:r>
              <w:rPr>
                <w:sz w:val="14"/>
              </w:rPr>
              <w:t>Capacity Management</w:t>
            </w:r>
          </w:p>
        </w:tc>
        <w:tc>
          <w:tcPr>
            <w:tcW w:w="3306" w:type="dxa"/>
          </w:tcPr>
          <w:p>
            <w:pPr>
              <w:pStyle w:val="TableParagraph"/>
              <w:ind w:left="109"/>
              <w:rPr>
                <w:sz w:val="14"/>
              </w:rPr>
            </w:pPr>
            <w:r>
              <w:rPr>
                <w:sz w:val="14"/>
              </w:rPr>
              <w:t>Multiple Costs</w:t>
            </w:r>
          </w:p>
        </w:tc>
        <w:tc>
          <w:tcPr>
            <w:tcW w:w="3306" w:type="dxa"/>
          </w:tcPr>
          <w:p>
            <w:pPr>
              <w:pStyle w:val="TableParagraph"/>
              <w:ind w:left="110"/>
              <w:rPr>
                <w:sz w:val="14"/>
              </w:rPr>
            </w:pPr>
            <w:r>
              <w:rPr>
                <w:sz w:val="14"/>
              </w:rPr>
              <w:t>Time Sheet</w:t>
            </w:r>
          </w:p>
        </w:tc>
      </w:tr>
      <w:tr>
        <w:trPr>
          <w:trHeight w:val="170" w:hRule="atLeast"/>
        </w:trPr>
        <w:tc>
          <w:tcPr>
            <w:tcW w:w="9916" w:type="dxa"/>
            <w:gridSpan w:val="3"/>
            <w:shd w:val="clear" w:color="auto" w:fill="E16C08"/>
          </w:tcPr>
          <w:p>
            <w:pPr>
              <w:pStyle w:val="TableParagraph"/>
              <w:ind w:left="3675" w:right="3657"/>
              <w:jc w:val="center"/>
              <w:rPr>
                <w:rFonts w:ascii="Segoe UI Semibold"/>
                <w:b/>
                <w:sz w:val="14"/>
              </w:rPr>
            </w:pPr>
            <w:r>
              <w:rPr>
                <w:rFonts w:ascii="Segoe UI Semibold"/>
                <w:b/>
                <w:color w:val="FFFFFF"/>
                <w:sz w:val="14"/>
              </w:rPr>
              <w:t>Supply Chain Management</w:t>
            </w:r>
          </w:p>
        </w:tc>
      </w:tr>
      <w:tr>
        <w:trPr>
          <w:trHeight w:val="170" w:hRule="atLeast"/>
        </w:trPr>
        <w:tc>
          <w:tcPr>
            <w:tcW w:w="3304" w:type="dxa"/>
          </w:tcPr>
          <w:p>
            <w:pPr>
              <w:pStyle w:val="TableParagraph"/>
              <w:rPr>
                <w:sz w:val="14"/>
              </w:rPr>
            </w:pPr>
            <w:r>
              <w:rPr>
                <w:sz w:val="14"/>
              </w:rPr>
              <w:t>Alternative Order Addresses</w:t>
            </w:r>
          </w:p>
        </w:tc>
        <w:tc>
          <w:tcPr>
            <w:tcW w:w="3306" w:type="dxa"/>
          </w:tcPr>
          <w:p>
            <w:pPr>
              <w:pStyle w:val="TableParagraph"/>
              <w:ind w:left="109"/>
              <w:rPr>
                <w:sz w:val="14"/>
              </w:rPr>
            </w:pPr>
            <w:r>
              <w:rPr>
                <w:sz w:val="14"/>
              </w:rPr>
              <w:t>Item Charges</w:t>
            </w:r>
          </w:p>
        </w:tc>
        <w:tc>
          <w:tcPr>
            <w:tcW w:w="3306" w:type="dxa"/>
          </w:tcPr>
          <w:p>
            <w:pPr>
              <w:pStyle w:val="TableParagraph"/>
              <w:ind w:left="110"/>
              <w:rPr>
                <w:sz w:val="14"/>
              </w:rPr>
            </w:pPr>
            <w:r>
              <w:rPr>
                <w:sz w:val="14"/>
              </w:rPr>
              <w:t>Sales Invoice Discounts</w:t>
            </w:r>
          </w:p>
        </w:tc>
      </w:tr>
      <w:tr>
        <w:trPr>
          <w:trHeight w:val="170" w:hRule="atLeast"/>
        </w:trPr>
        <w:tc>
          <w:tcPr>
            <w:tcW w:w="3304" w:type="dxa"/>
          </w:tcPr>
          <w:p>
            <w:pPr>
              <w:pStyle w:val="TableParagraph"/>
              <w:rPr>
                <w:sz w:val="14"/>
              </w:rPr>
            </w:pPr>
            <w:r>
              <w:rPr>
                <w:sz w:val="14"/>
              </w:rPr>
              <w:t>Alternative Ship-To Addresses</w:t>
            </w:r>
          </w:p>
        </w:tc>
        <w:tc>
          <w:tcPr>
            <w:tcW w:w="3306" w:type="dxa"/>
          </w:tcPr>
          <w:p>
            <w:pPr>
              <w:pStyle w:val="TableParagraph"/>
              <w:ind w:left="109"/>
              <w:rPr>
                <w:sz w:val="14"/>
              </w:rPr>
            </w:pPr>
            <w:r>
              <w:rPr>
                <w:sz w:val="14"/>
              </w:rPr>
              <w:t>Item Cross References</w:t>
            </w:r>
          </w:p>
        </w:tc>
        <w:tc>
          <w:tcPr>
            <w:tcW w:w="3306" w:type="dxa"/>
          </w:tcPr>
          <w:p>
            <w:pPr>
              <w:pStyle w:val="TableParagraph"/>
              <w:ind w:left="110"/>
              <w:rPr>
                <w:sz w:val="14"/>
              </w:rPr>
            </w:pPr>
            <w:r>
              <w:rPr>
                <w:sz w:val="14"/>
              </w:rPr>
              <w:t>Sales Invoicing</w:t>
            </w:r>
          </w:p>
        </w:tc>
      </w:tr>
      <w:tr>
        <w:trPr>
          <w:trHeight w:val="170" w:hRule="atLeast"/>
        </w:trPr>
        <w:tc>
          <w:tcPr>
            <w:tcW w:w="3304" w:type="dxa"/>
          </w:tcPr>
          <w:p>
            <w:pPr>
              <w:pStyle w:val="TableParagraph"/>
              <w:rPr>
                <w:sz w:val="14"/>
              </w:rPr>
            </w:pPr>
            <w:r>
              <w:rPr>
                <w:sz w:val="14"/>
              </w:rPr>
              <w:t>Alternative Vendors</w:t>
            </w:r>
          </w:p>
        </w:tc>
        <w:tc>
          <w:tcPr>
            <w:tcW w:w="3306" w:type="dxa"/>
          </w:tcPr>
          <w:p>
            <w:pPr>
              <w:pStyle w:val="TableParagraph"/>
              <w:ind w:left="109"/>
              <w:rPr>
                <w:sz w:val="14"/>
              </w:rPr>
            </w:pPr>
            <w:r>
              <w:rPr>
                <w:sz w:val="14"/>
              </w:rPr>
              <w:t>Item Substitutions</w:t>
            </w:r>
          </w:p>
        </w:tc>
        <w:tc>
          <w:tcPr>
            <w:tcW w:w="3306" w:type="dxa"/>
          </w:tcPr>
          <w:p>
            <w:pPr>
              <w:pStyle w:val="TableParagraph"/>
              <w:ind w:left="110"/>
              <w:rPr>
                <w:sz w:val="14"/>
              </w:rPr>
            </w:pPr>
            <w:r>
              <w:rPr>
                <w:sz w:val="14"/>
              </w:rPr>
              <w:t>Sales Line Discounting</w:t>
            </w:r>
          </w:p>
        </w:tc>
      </w:tr>
      <w:tr>
        <w:trPr>
          <w:trHeight w:val="167" w:hRule="atLeast"/>
        </w:trPr>
        <w:tc>
          <w:tcPr>
            <w:tcW w:w="3304" w:type="dxa"/>
          </w:tcPr>
          <w:p>
            <w:pPr>
              <w:pStyle w:val="TableParagraph"/>
              <w:spacing w:line="148" w:lineRule="exact"/>
              <w:rPr>
                <w:sz w:val="14"/>
              </w:rPr>
            </w:pPr>
            <w:r>
              <w:rPr>
                <w:sz w:val="14"/>
              </w:rPr>
              <w:t>Assembly Management</w:t>
            </w:r>
          </w:p>
        </w:tc>
        <w:tc>
          <w:tcPr>
            <w:tcW w:w="3306" w:type="dxa"/>
          </w:tcPr>
          <w:p>
            <w:pPr>
              <w:pStyle w:val="TableParagraph"/>
              <w:spacing w:line="148" w:lineRule="exact"/>
              <w:ind w:left="109"/>
              <w:rPr>
                <w:sz w:val="14"/>
              </w:rPr>
            </w:pPr>
            <w:r>
              <w:rPr>
                <w:sz w:val="14"/>
              </w:rPr>
              <w:t>Item Tracking</w:t>
            </w:r>
          </w:p>
        </w:tc>
        <w:tc>
          <w:tcPr>
            <w:tcW w:w="3306" w:type="dxa"/>
          </w:tcPr>
          <w:p>
            <w:pPr>
              <w:pStyle w:val="TableParagraph"/>
              <w:spacing w:line="148" w:lineRule="exact"/>
              <w:ind w:left="110"/>
              <w:rPr>
                <w:sz w:val="14"/>
              </w:rPr>
            </w:pPr>
            <w:r>
              <w:rPr>
                <w:sz w:val="14"/>
              </w:rPr>
              <w:t>Sales Line Pricing</w:t>
            </w:r>
          </w:p>
        </w:tc>
      </w:tr>
      <w:tr>
        <w:trPr>
          <w:trHeight w:val="170" w:hRule="atLeast"/>
        </w:trPr>
        <w:tc>
          <w:tcPr>
            <w:tcW w:w="3304" w:type="dxa"/>
          </w:tcPr>
          <w:p>
            <w:pPr>
              <w:pStyle w:val="TableParagraph"/>
              <w:rPr>
                <w:sz w:val="14"/>
              </w:rPr>
            </w:pPr>
            <w:r>
              <w:rPr>
                <w:sz w:val="14"/>
              </w:rPr>
              <w:t>Basic Inventory</w:t>
            </w:r>
          </w:p>
        </w:tc>
        <w:tc>
          <w:tcPr>
            <w:tcW w:w="3306" w:type="dxa"/>
          </w:tcPr>
          <w:p>
            <w:pPr>
              <w:pStyle w:val="TableParagraph"/>
              <w:ind w:left="109"/>
              <w:rPr>
                <w:sz w:val="14"/>
              </w:rPr>
            </w:pPr>
            <w:r>
              <w:rPr>
                <w:sz w:val="14"/>
              </w:rPr>
              <w:t>Location Transfers</w:t>
            </w:r>
          </w:p>
        </w:tc>
        <w:tc>
          <w:tcPr>
            <w:tcW w:w="3306" w:type="dxa"/>
          </w:tcPr>
          <w:p>
            <w:pPr>
              <w:pStyle w:val="TableParagraph"/>
              <w:ind w:left="110"/>
              <w:rPr>
                <w:sz w:val="14"/>
              </w:rPr>
            </w:pPr>
            <w:r>
              <w:rPr>
                <w:sz w:val="14"/>
              </w:rPr>
              <w:t>Sales Order Management</w:t>
            </w:r>
          </w:p>
        </w:tc>
      </w:tr>
      <w:tr>
        <w:trPr>
          <w:trHeight w:val="170" w:hRule="atLeast"/>
        </w:trPr>
        <w:tc>
          <w:tcPr>
            <w:tcW w:w="3304" w:type="dxa"/>
          </w:tcPr>
          <w:p>
            <w:pPr>
              <w:pStyle w:val="TableParagraph"/>
              <w:rPr>
                <w:sz w:val="14"/>
              </w:rPr>
            </w:pPr>
            <w:r>
              <w:rPr>
                <w:sz w:val="14"/>
              </w:rPr>
              <w:t>Basic Payables</w:t>
            </w:r>
          </w:p>
        </w:tc>
        <w:tc>
          <w:tcPr>
            <w:tcW w:w="3306" w:type="dxa"/>
          </w:tcPr>
          <w:p>
            <w:pPr>
              <w:pStyle w:val="TableParagraph"/>
              <w:ind w:left="109"/>
              <w:rPr>
                <w:sz w:val="14"/>
              </w:rPr>
            </w:pPr>
            <w:r>
              <w:rPr>
                <w:sz w:val="14"/>
              </w:rPr>
              <w:t>Multiple Locations</w:t>
            </w:r>
          </w:p>
        </w:tc>
        <w:tc>
          <w:tcPr>
            <w:tcW w:w="3306" w:type="dxa"/>
          </w:tcPr>
          <w:p>
            <w:pPr>
              <w:pStyle w:val="TableParagraph"/>
              <w:ind w:left="110"/>
              <w:rPr>
                <w:sz w:val="14"/>
              </w:rPr>
            </w:pPr>
            <w:r>
              <w:rPr>
                <w:sz w:val="14"/>
              </w:rPr>
              <w:t>Sales Return Order Management</w:t>
            </w:r>
          </w:p>
        </w:tc>
      </w:tr>
      <w:tr>
        <w:trPr>
          <w:trHeight w:val="241" w:hRule="atLeast"/>
        </w:trPr>
        <w:tc>
          <w:tcPr>
            <w:tcW w:w="3304" w:type="dxa"/>
          </w:tcPr>
          <w:p>
            <w:pPr>
              <w:pStyle w:val="TableParagraph"/>
              <w:spacing w:line="240" w:lineRule="auto" w:before="31"/>
              <w:rPr>
                <w:sz w:val="14"/>
              </w:rPr>
            </w:pPr>
            <w:r>
              <w:rPr>
                <w:sz w:val="14"/>
              </w:rPr>
              <w:t>Basic Receivables</w:t>
            </w:r>
          </w:p>
        </w:tc>
        <w:tc>
          <w:tcPr>
            <w:tcW w:w="3306" w:type="dxa"/>
          </w:tcPr>
          <w:p>
            <w:pPr>
              <w:pStyle w:val="TableParagraph"/>
              <w:spacing w:line="240" w:lineRule="auto" w:before="31"/>
              <w:ind w:left="109"/>
              <w:rPr>
                <w:sz w:val="14"/>
              </w:rPr>
            </w:pPr>
            <w:r>
              <w:rPr>
                <w:sz w:val="14"/>
              </w:rPr>
              <w:t>Order Promising</w:t>
            </w:r>
          </w:p>
        </w:tc>
        <w:tc>
          <w:tcPr>
            <w:tcW w:w="3306" w:type="dxa"/>
          </w:tcPr>
          <w:p>
            <w:pPr>
              <w:pStyle w:val="TableParagraph"/>
              <w:spacing w:line="160" w:lineRule="exact" w:before="61"/>
              <w:ind w:left="110"/>
              <w:rPr>
                <w:sz w:val="12"/>
              </w:rPr>
            </w:pPr>
            <w:r>
              <w:rPr>
                <w:sz w:val="14"/>
              </w:rPr>
              <w:t>Sales Tax/VAT</w:t>
            </w:r>
            <w:r>
              <w:rPr>
                <w:sz w:val="12"/>
              </w:rPr>
              <w:t>~</w:t>
            </w:r>
          </w:p>
        </w:tc>
      </w:tr>
      <w:tr>
        <w:trPr>
          <w:trHeight w:val="170" w:hRule="atLeast"/>
        </w:trPr>
        <w:tc>
          <w:tcPr>
            <w:tcW w:w="3304" w:type="dxa"/>
          </w:tcPr>
          <w:p>
            <w:pPr>
              <w:pStyle w:val="TableParagraph"/>
              <w:rPr>
                <w:sz w:val="14"/>
              </w:rPr>
            </w:pPr>
            <w:r>
              <w:rPr>
                <w:sz w:val="14"/>
              </w:rPr>
              <w:t>Calendars</w:t>
            </w:r>
          </w:p>
        </w:tc>
        <w:tc>
          <w:tcPr>
            <w:tcW w:w="3306" w:type="dxa"/>
          </w:tcPr>
          <w:p>
            <w:pPr>
              <w:pStyle w:val="TableParagraph"/>
              <w:ind w:left="109"/>
              <w:rPr>
                <w:sz w:val="14"/>
              </w:rPr>
            </w:pPr>
            <w:r>
              <w:rPr>
                <w:sz w:val="14"/>
              </w:rPr>
              <w:t>Purchase Invoicing</w:t>
            </w:r>
          </w:p>
        </w:tc>
        <w:tc>
          <w:tcPr>
            <w:tcW w:w="3306" w:type="dxa"/>
          </w:tcPr>
          <w:p>
            <w:pPr>
              <w:pStyle w:val="TableParagraph"/>
              <w:ind w:left="110"/>
              <w:rPr>
                <w:sz w:val="14"/>
              </w:rPr>
            </w:pPr>
            <w:r>
              <w:rPr>
                <w:sz w:val="14"/>
              </w:rPr>
              <w:t>Shipping Agents</w:t>
            </w:r>
          </w:p>
        </w:tc>
      </w:tr>
      <w:tr>
        <w:trPr>
          <w:trHeight w:val="170" w:hRule="atLeast"/>
        </w:trPr>
        <w:tc>
          <w:tcPr>
            <w:tcW w:w="3304" w:type="dxa"/>
          </w:tcPr>
          <w:p>
            <w:pPr>
              <w:pStyle w:val="TableParagraph"/>
              <w:rPr>
                <w:sz w:val="14"/>
              </w:rPr>
            </w:pPr>
            <w:r>
              <w:rPr>
                <w:sz w:val="14"/>
              </w:rPr>
              <w:t>Cycle Counting</w:t>
            </w:r>
          </w:p>
        </w:tc>
        <w:tc>
          <w:tcPr>
            <w:tcW w:w="3306" w:type="dxa"/>
          </w:tcPr>
          <w:p>
            <w:pPr>
              <w:pStyle w:val="TableParagraph"/>
              <w:ind w:left="109"/>
              <w:rPr>
                <w:sz w:val="14"/>
              </w:rPr>
            </w:pPr>
            <w:r>
              <w:rPr>
                <w:sz w:val="14"/>
              </w:rPr>
              <w:t>Purchase Line Discounting</w:t>
            </w:r>
          </w:p>
        </w:tc>
        <w:tc>
          <w:tcPr>
            <w:tcW w:w="3306" w:type="dxa"/>
          </w:tcPr>
          <w:p>
            <w:pPr>
              <w:pStyle w:val="TableParagraph"/>
              <w:ind w:left="110"/>
              <w:rPr>
                <w:sz w:val="14"/>
              </w:rPr>
            </w:pPr>
            <w:r>
              <w:rPr>
                <w:sz w:val="14"/>
              </w:rPr>
              <w:t>Standard Cost Worksheet</w:t>
            </w:r>
          </w:p>
        </w:tc>
      </w:tr>
      <w:tr>
        <w:trPr>
          <w:trHeight w:val="170" w:hRule="atLeast"/>
        </w:trPr>
        <w:tc>
          <w:tcPr>
            <w:tcW w:w="3304" w:type="dxa"/>
          </w:tcPr>
          <w:p>
            <w:pPr>
              <w:pStyle w:val="TableParagraph"/>
              <w:rPr>
                <w:sz w:val="14"/>
              </w:rPr>
            </w:pPr>
            <w:r>
              <w:rPr>
                <w:sz w:val="14"/>
              </w:rPr>
              <w:t>Drop Shipments</w:t>
            </w:r>
          </w:p>
        </w:tc>
        <w:tc>
          <w:tcPr>
            <w:tcW w:w="3306" w:type="dxa"/>
          </w:tcPr>
          <w:p>
            <w:pPr>
              <w:pStyle w:val="TableParagraph"/>
              <w:ind w:left="109"/>
              <w:rPr>
                <w:sz w:val="14"/>
              </w:rPr>
            </w:pPr>
            <w:r>
              <w:rPr>
                <w:sz w:val="14"/>
              </w:rPr>
              <w:t>Purchase Line Pricing</w:t>
            </w:r>
          </w:p>
        </w:tc>
        <w:tc>
          <w:tcPr>
            <w:tcW w:w="3306" w:type="dxa"/>
          </w:tcPr>
          <w:p>
            <w:pPr>
              <w:pStyle w:val="TableParagraph"/>
              <w:ind w:left="110"/>
              <w:rPr>
                <w:sz w:val="14"/>
              </w:rPr>
            </w:pPr>
            <w:r>
              <w:rPr>
                <w:sz w:val="14"/>
              </w:rPr>
              <w:t>Stock keeping Units</w:t>
            </w:r>
          </w:p>
        </w:tc>
      </w:tr>
      <w:tr>
        <w:trPr>
          <w:trHeight w:val="167" w:hRule="atLeast"/>
        </w:trPr>
        <w:tc>
          <w:tcPr>
            <w:tcW w:w="3304" w:type="dxa"/>
          </w:tcPr>
          <w:p>
            <w:pPr>
              <w:pStyle w:val="TableParagraph"/>
              <w:spacing w:line="148" w:lineRule="exact"/>
              <w:rPr>
                <w:sz w:val="14"/>
              </w:rPr>
            </w:pPr>
            <w:r>
              <w:rPr>
                <w:sz w:val="14"/>
              </w:rPr>
              <w:t>Item Attributes</w:t>
            </w:r>
          </w:p>
        </w:tc>
        <w:tc>
          <w:tcPr>
            <w:tcW w:w="3306" w:type="dxa"/>
          </w:tcPr>
          <w:p>
            <w:pPr>
              <w:pStyle w:val="TableParagraph"/>
              <w:spacing w:line="148" w:lineRule="exact"/>
              <w:ind w:left="109"/>
              <w:rPr>
                <w:sz w:val="14"/>
              </w:rPr>
            </w:pPr>
            <w:r>
              <w:rPr>
                <w:sz w:val="14"/>
              </w:rPr>
              <w:t>Purchase Order Management</w:t>
            </w:r>
          </w:p>
        </w:tc>
        <w:tc>
          <w:tcPr>
            <w:tcW w:w="3306" w:type="dxa"/>
          </w:tcPr>
          <w:p>
            <w:pPr>
              <w:pStyle w:val="TableParagraph"/>
              <w:spacing w:line="148" w:lineRule="exact"/>
              <w:ind w:left="110"/>
              <w:rPr>
                <w:sz w:val="14"/>
              </w:rPr>
            </w:pPr>
            <w:r>
              <w:rPr>
                <w:sz w:val="14"/>
              </w:rPr>
              <w:t>Vendor Catalogue Items</w:t>
            </w:r>
          </w:p>
        </w:tc>
      </w:tr>
      <w:tr>
        <w:trPr>
          <w:trHeight w:val="170" w:hRule="atLeast"/>
        </w:trPr>
        <w:tc>
          <w:tcPr>
            <w:tcW w:w="3304" w:type="dxa"/>
          </w:tcPr>
          <w:p>
            <w:pPr>
              <w:pStyle w:val="TableParagraph"/>
              <w:rPr>
                <w:sz w:val="14"/>
              </w:rPr>
            </w:pPr>
            <w:r>
              <w:rPr>
                <w:sz w:val="14"/>
              </w:rPr>
              <w:t>Item Budgets</w:t>
            </w:r>
          </w:p>
        </w:tc>
        <w:tc>
          <w:tcPr>
            <w:tcW w:w="3306" w:type="dxa"/>
          </w:tcPr>
          <w:p>
            <w:pPr>
              <w:pStyle w:val="TableParagraph"/>
              <w:ind w:left="109"/>
              <w:rPr>
                <w:sz w:val="14"/>
              </w:rPr>
            </w:pPr>
            <w:r>
              <w:rPr>
                <w:sz w:val="14"/>
              </w:rPr>
              <w:t>Purchase Return Order Management</w:t>
            </w:r>
          </w:p>
        </w:tc>
        <w:tc>
          <w:tcPr>
            <w:tcW w:w="3306" w:type="dxa"/>
          </w:tcPr>
          <w:p>
            <w:pPr>
              <w:pStyle w:val="TableParagraph"/>
              <w:spacing w:line="240" w:lineRule="auto"/>
              <w:ind w:left="0"/>
              <w:rPr>
                <w:rFonts w:ascii="Times New Roman"/>
                <w:sz w:val="10"/>
              </w:rPr>
            </w:pPr>
          </w:p>
        </w:tc>
      </w:tr>
      <w:tr>
        <w:trPr>
          <w:trHeight w:val="170" w:hRule="atLeast"/>
        </w:trPr>
        <w:tc>
          <w:tcPr>
            <w:tcW w:w="3304" w:type="dxa"/>
          </w:tcPr>
          <w:p>
            <w:pPr>
              <w:pStyle w:val="TableParagraph"/>
              <w:rPr>
                <w:sz w:val="14"/>
              </w:rPr>
            </w:pPr>
            <w:r>
              <w:rPr>
                <w:sz w:val="14"/>
              </w:rPr>
              <w:t>Item Categories</w:t>
            </w:r>
          </w:p>
        </w:tc>
        <w:tc>
          <w:tcPr>
            <w:tcW w:w="3306" w:type="dxa"/>
          </w:tcPr>
          <w:p>
            <w:pPr>
              <w:pStyle w:val="TableParagraph"/>
              <w:ind w:left="109"/>
              <w:rPr>
                <w:sz w:val="14"/>
              </w:rPr>
            </w:pPr>
            <w:r>
              <w:rPr>
                <w:sz w:val="14"/>
              </w:rPr>
              <w:t>Requisition Management</w:t>
            </w:r>
          </w:p>
        </w:tc>
        <w:tc>
          <w:tcPr>
            <w:tcW w:w="3306" w:type="dxa"/>
          </w:tcPr>
          <w:p>
            <w:pPr>
              <w:pStyle w:val="TableParagraph"/>
              <w:spacing w:line="240" w:lineRule="auto"/>
              <w:ind w:left="0"/>
              <w:rPr>
                <w:rFonts w:ascii="Times New Roman"/>
                <w:sz w:val="10"/>
              </w:rPr>
            </w:pPr>
          </w:p>
        </w:tc>
      </w:tr>
      <w:tr>
        <w:trPr>
          <w:trHeight w:val="170" w:hRule="atLeast"/>
        </w:trPr>
        <w:tc>
          <w:tcPr>
            <w:tcW w:w="9916" w:type="dxa"/>
            <w:gridSpan w:val="3"/>
            <w:shd w:val="clear" w:color="auto" w:fill="E16C08"/>
          </w:tcPr>
          <w:p>
            <w:pPr>
              <w:pStyle w:val="TableParagraph"/>
              <w:ind w:left="3675" w:right="3657"/>
              <w:jc w:val="center"/>
              <w:rPr>
                <w:rFonts w:ascii="Segoe UI Semibold"/>
                <w:b/>
                <w:sz w:val="14"/>
              </w:rPr>
            </w:pPr>
            <w:r>
              <w:rPr>
                <w:rFonts w:ascii="Segoe UI Semibold"/>
                <w:b/>
                <w:color w:val="FFFFFF"/>
                <w:sz w:val="14"/>
              </w:rPr>
              <w:t>Warehouse Management and Inventory</w:t>
            </w:r>
          </w:p>
        </w:tc>
      </w:tr>
      <w:tr>
        <w:trPr>
          <w:trHeight w:val="170" w:hRule="atLeast"/>
        </w:trPr>
        <w:tc>
          <w:tcPr>
            <w:tcW w:w="3304" w:type="dxa"/>
          </w:tcPr>
          <w:p>
            <w:pPr>
              <w:pStyle w:val="TableParagraph"/>
              <w:rPr>
                <w:sz w:val="14"/>
              </w:rPr>
            </w:pPr>
            <w:r>
              <w:rPr>
                <w:sz w:val="14"/>
              </w:rPr>
              <w:t>Automated Data Capture System</w:t>
            </w:r>
          </w:p>
        </w:tc>
        <w:tc>
          <w:tcPr>
            <w:tcW w:w="3306" w:type="dxa"/>
          </w:tcPr>
          <w:p>
            <w:pPr>
              <w:pStyle w:val="TableParagraph"/>
              <w:ind w:left="109"/>
              <w:rPr>
                <w:sz w:val="14"/>
              </w:rPr>
            </w:pPr>
            <w:r>
              <w:rPr>
                <w:sz w:val="14"/>
              </w:rPr>
              <w:t>Internal Picks and Put Aways</w:t>
            </w:r>
          </w:p>
        </w:tc>
        <w:tc>
          <w:tcPr>
            <w:tcW w:w="3306" w:type="dxa"/>
          </w:tcPr>
          <w:p>
            <w:pPr>
              <w:pStyle w:val="TableParagraph"/>
              <w:ind w:left="110"/>
              <w:rPr>
                <w:sz w:val="14"/>
              </w:rPr>
            </w:pPr>
            <w:r>
              <w:rPr>
                <w:sz w:val="14"/>
              </w:rPr>
              <w:t>Warehouse Management Systems</w:t>
            </w:r>
          </w:p>
        </w:tc>
      </w:tr>
      <w:tr>
        <w:trPr>
          <w:trHeight w:val="170" w:hRule="atLeast"/>
        </w:trPr>
        <w:tc>
          <w:tcPr>
            <w:tcW w:w="3304" w:type="dxa"/>
          </w:tcPr>
          <w:p>
            <w:pPr>
              <w:pStyle w:val="TableParagraph"/>
              <w:rPr>
                <w:sz w:val="14"/>
              </w:rPr>
            </w:pPr>
            <w:r>
              <w:rPr>
                <w:sz w:val="14"/>
              </w:rPr>
              <w:t>Bin Set-Up</w:t>
            </w:r>
          </w:p>
        </w:tc>
        <w:tc>
          <w:tcPr>
            <w:tcW w:w="3306" w:type="dxa"/>
          </w:tcPr>
          <w:p>
            <w:pPr>
              <w:pStyle w:val="TableParagraph"/>
              <w:ind w:left="109"/>
              <w:rPr>
                <w:sz w:val="14"/>
              </w:rPr>
            </w:pPr>
            <w:r>
              <w:rPr>
                <w:sz w:val="14"/>
              </w:rPr>
              <w:t>Pick</w:t>
            </w:r>
          </w:p>
        </w:tc>
        <w:tc>
          <w:tcPr>
            <w:tcW w:w="3306" w:type="dxa"/>
          </w:tcPr>
          <w:p>
            <w:pPr>
              <w:pStyle w:val="TableParagraph"/>
              <w:ind w:left="110"/>
              <w:rPr>
                <w:sz w:val="14"/>
              </w:rPr>
            </w:pPr>
            <w:r>
              <w:rPr>
                <w:sz w:val="14"/>
              </w:rPr>
              <w:t>Warehouse Receipt</w:t>
            </w:r>
          </w:p>
        </w:tc>
      </w:tr>
      <w:tr>
        <w:trPr>
          <w:trHeight w:val="170" w:hRule="atLeast"/>
        </w:trPr>
        <w:tc>
          <w:tcPr>
            <w:tcW w:w="3304" w:type="dxa"/>
          </w:tcPr>
          <w:p>
            <w:pPr>
              <w:pStyle w:val="TableParagraph"/>
              <w:spacing w:line="240" w:lineRule="auto"/>
              <w:ind w:left="0"/>
              <w:rPr>
                <w:rFonts w:ascii="Times New Roman"/>
                <w:sz w:val="10"/>
              </w:rPr>
            </w:pPr>
          </w:p>
        </w:tc>
        <w:tc>
          <w:tcPr>
            <w:tcW w:w="3306" w:type="dxa"/>
          </w:tcPr>
          <w:p>
            <w:pPr>
              <w:pStyle w:val="TableParagraph"/>
              <w:spacing w:line="240" w:lineRule="auto"/>
              <w:ind w:left="0"/>
              <w:rPr>
                <w:rFonts w:ascii="Times New Roman"/>
                <w:sz w:val="10"/>
              </w:rPr>
            </w:pPr>
          </w:p>
        </w:tc>
        <w:tc>
          <w:tcPr>
            <w:tcW w:w="3306" w:type="dxa"/>
          </w:tcPr>
          <w:p>
            <w:pPr>
              <w:pStyle w:val="TableParagraph"/>
              <w:ind w:left="110"/>
              <w:rPr>
                <w:sz w:val="14"/>
              </w:rPr>
            </w:pPr>
            <w:r>
              <w:rPr>
                <w:sz w:val="14"/>
              </w:rPr>
              <w:t>Warehouse Shipment</w:t>
            </w:r>
          </w:p>
        </w:tc>
      </w:tr>
      <w:tr>
        <w:trPr>
          <w:trHeight w:val="167" w:hRule="atLeast"/>
        </w:trPr>
        <w:tc>
          <w:tcPr>
            <w:tcW w:w="9916" w:type="dxa"/>
            <w:gridSpan w:val="3"/>
            <w:shd w:val="clear" w:color="auto" w:fill="E16C08"/>
          </w:tcPr>
          <w:p>
            <w:pPr>
              <w:pStyle w:val="TableParagraph"/>
              <w:spacing w:line="148" w:lineRule="exact"/>
              <w:ind w:left="3675" w:right="3654"/>
              <w:jc w:val="center"/>
              <w:rPr>
                <w:rFonts w:ascii="Segoe UI Semibold"/>
                <w:b/>
                <w:sz w:val="14"/>
              </w:rPr>
            </w:pPr>
            <w:r>
              <w:rPr>
                <w:rFonts w:ascii="Segoe UI Semibold"/>
                <w:b/>
                <w:color w:val="FFFFFF"/>
                <w:sz w:val="14"/>
              </w:rPr>
              <w:t>Other</w:t>
            </w:r>
          </w:p>
        </w:tc>
      </w:tr>
      <w:tr>
        <w:trPr>
          <w:trHeight w:val="170" w:hRule="atLeast"/>
        </w:trPr>
        <w:tc>
          <w:tcPr>
            <w:tcW w:w="3304" w:type="dxa"/>
          </w:tcPr>
          <w:p>
            <w:pPr>
              <w:pStyle w:val="TableParagraph"/>
              <w:rPr>
                <w:sz w:val="14"/>
              </w:rPr>
            </w:pPr>
            <w:r>
              <w:rPr>
                <w:sz w:val="14"/>
              </w:rPr>
              <w:t>Analysis Reports</w:t>
            </w:r>
          </w:p>
        </w:tc>
        <w:tc>
          <w:tcPr>
            <w:tcW w:w="3306" w:type="dxa"/>
          </w:tcPr>
          <w:p>
            <w:pPr>
              <w:pStyle w:val="TableParagraph"/>
              <w:ind w:left="109"/>
              <w:rPr>
                <w:sz w:val="14"/>
              </w:rPr>
            </w:pPr>
            <w:r>
              <w:rPr>
                <w:sz w:val="14"/>
              </w:rPr>
              <w:t>Job Queue</w:t>
            </w:r>
          </w:p>
        </w:tc>
        <w:tc>
          <w:tcPr>
            <w:tcW w:w="3306" w:type="dxa"/>
          </w:tcPr>
          <w:p>
            <w:pPr>
              <w:pStyle w:val="TableParagraph"/>
              <w:ind w:left="110"/>
              <w:rPr>
                <w:sz w:val="14"/>
              </w:rPr>
            </w:pPr>
            <w:r>
              <w:rPr>
                <w:sz w:val="14"/>
              </w:rPr>
              <w:t>User Tasks</w:t>
            </w:r>
          </w:p>
        </w:tc>
      </w:tr>
      <w:tr>
        <w:trPr>
          <w:trHeight w:val="170" w:hRule="atLeast"/>
        </w:trPr>
        <w:tc>
          <w:tcPr>
            <w:tcW w:w="3304" w:type="dxa"/>
          </w:tcPr>
          <w:p>
            <w:pPr>
              <w:pStyle w:val="TableParagraph"/>
              <w:rPr>
                <w:sz w:val="14"/>
              </w:rPr>
            </w:pPr>
            <w:r>
              <w:rPr>
                <w:sz w:val="14"/>
              </w:rPr>
              <w:t>Change Log</w:t>
            </w:r>
          </w:p>
        </w:tc>
        <w:tc>
          <w:tcPr>
            <w:tcW w:w="3306" w:type="dxa"/>
          </w:tcPr>
          <w:p>
            <w:pPr>
              <w:pStyle w:val="TableParagraph"/>
              <w:ind w:left="109"/>
              <w:rPr>
                <w:sz w:val="14"/>
              </w:rPr>
            </w:pPr>
            <w:r>
              <w:rPr>
                <w:sz w:val="14"/>
              </w:rPr>
              <w:t>Notifications (on-premises only)</w:t>
            </w:r>
          </w:p>
        </w:tc>
        <w:tc>
          <w:tcPr>
            <w:tcW w:w="3306" w:type="dxa"/>
          </w:tcPr>
          <w:p>
            <w:pPr>
              <w:pStyle w:val="TableParagraph"/>
              <w:ind w:left="110"/>
              <w:rPr>
                <w:sz w:val="14"/>
              </w:rPr>
            </w:pPr>
            <w:r>
              <w:rPr>
                <w:sz w:val="14"/>
              </w:rPr>
              <w:t>Word reporting/Document reporting</w:t>
            </w:r>
          </w:p>
        </w:tc>
      </w:tr>
      <w:tr>
        <w:trPr>
          <w:trHeight w:val="170" w:hRule="atLeast"/>
        </w:trPr>
        <w:tc>
          <w:tcPr>
            <w:tcW w:w="3304" w:type="dxa"/>
          </w:tcPr>
          <w:p>
            <w:pPr>
              <w:pStyle w:val="TableParagraph"/>
              <w:rPr>
                <w:sz w:val="14"/>
              </w:rPr>
            </w:pPr>
            <w:r>
              <w:rPr>
                <w:sz w:val="14"/>
              </w:rPr>
              <w:t>Embedded Power BI</w:t>
            </w:r>
          </w:p>
        </w:tc>
        <w:tc>
          <w:tcPr>
            <w:tcW w:w="3306" w:type="dxa"/>
          </w:tcPr>
          <w:p>
            <w:pPr>
              <w:pStyle w:val="TableParagraph"/>
              <w:ind w:left="109"/>
              <w:rPr>
                <w:sz w:val="14"/>
              </w:rPr>
            </w:pPr>
            <w:r>
              <w:rPr>
                <w:sz w:val="14"/>
              </w:rPr>
              <w:t>Reason Codes</w:t>
            </w:r>
          </w:p>
        </w:tc>
        <w:tc>
          <w:tcPr>
            <w:tcW w:w="3306" w:type="dxa"/>
          </w:tcPr>
          <w:p>
            <w:pPr>
              <w:pStyle w:val="TableParagraph"/>
              <w:ind w:left="110"/>
              <w:rPr>
                <w:sz w:val="14"/>
              </w:rPr>
            </w:pPr>
            <w:r>
              <w:rPr>
                <w:sz w:val="14"/>
              </w:rPr>
              <w:t>Workflow</w:t>
            </w:r>
          </w:p>
        </w:tc>
      </w:tr>
      <w:tr>
        <w:trPr>
          <w:trHeight w:val="170" w:hRule="atLeast"/>
        </w:trPr>
        <w:tc>
          <w:tcPr>
            <w:tcW w:w="3304" w:type="dxa"/>
          </w:tcPr>
          <w:p>
            <w:pPr>
              <w:pStyle w:val="TableParagraph"/>
              <w:rPr>
                <w:sz w:val="14"/>
              </w:rPr>
            </w:pPr>
            <w:r>
              <w:rPr>
                <w:sz w:val="14"/>
              </w:rPr>
              <w:t>Extended Text</w:t>
            </w:r>
          </w:p>
        </w:tc>
        <w:tc>
          <w:tcPr>
            <w:tcW w:w="3306" w:type="dxa"/>
          </w:tcPr>
          <w:p>
            <w:pPr>
              <w:pStyle w:val="TableParagraph"/>
              <w:ind w:left="109"/>
              <w:rPr>
                <w:sz w:val="14"/>
              </w:rPr>
            </w:pPr>
            <w:r>
              <w:rPr>
                <w:sz w:val="14"/>
              </w:rPr>
              <w:t>Unlimited Companies</w:t>
            </w:r>
          </w:p>
        </w:tc>
        <w:tc>
          <w:tcPr>
            <w:tcW w:w="3306" w:type="dxa"/>
          </w:tcPr>
          <w:p>
            <w:pPr>
              <w:pStyle w:val="TableParagraph"/>
              <w:spacing w:line="240" w:lineRule="auto"/>
              <w:ind w:left="0"/>
              <w:rPr>
                <w:rFonts w:ascii="Times New Roman"/>
                <w:sz w:val="10"/>
              </w:rPr>
            </w:pPr>
          </w:p>
        </w:tc>
      </w:tr>
      <w:tr>
        <w:trPr>
          <w:trHeight w:val="170" w:hRule="atLeast"/>
        </w:trPr>
        <w:tc>
          <w:tcPr>
            <w:tcW w:w="3304" w:type="dxa"/>
          </w:tcPr>
          <w:p>
            <w:pPr>
              <w:pStyle w:val="TableParagraph"/>
              <w:rPr>
                <w:sz w:val="14"/>
              </w:rPr>
            </w:pPr>
            <w:r>
              <w:rPr>
                <w:sz w:val="14"/>
              </w:rPr>
              <w:t>Intrastat</w:t>
            </w:r>
          </w:p>
        </w:tc>
        <w:tc>
          <w:tcPr>
            <w:tcW w:w="3306" w:type="dxa"/>
          </w:tcPr>
          <w:p>
            <w:pPr>
              <w:pStyle w:val="TableParagraph"/>
              <w:ind w:left="109"/>
              <w:rPr>
                <w:sz w:val="14"/>
              </w:rPr>
            </w:pPr>
            <w:r>
              <w:rPr>
                <w:sz w:val="14"/>
              </w:rPr>
              <w:t>User Management</w:t>
            </w:r>
          </w:p>
        </w:tc>
        <w:tc>
          <w:tcPr>
            <w:tcW w:w="3306" w:type="dxa"/>
          </w:tcPr>
          <w:p>
            <w:pPr>
              <w:pStyle w:val="TableParagraph"/>
              <w:spacing w:line="240" w:lineRule="auto"/>
              <w:ind w:left="0"/>
              <w:rPr>
                <w:rFonts w:ascii="Times New Roman"/>
                <w:sz w:val="10"/>
              </w:rPr>
            </w:pPr>
          </w:p>
        </w:tc>
      </w:tr>
    </w:tbl>
    <w:p>
      <w:pPr>
        <w:spacing w:before="357"/>
        <w:ind w:left="566" w:right="0" w:firstLine="0"/>
        <w:jc w:val="left"/>
        <w:rPr>
          <w:b w:val="0"/>
          <w:sz w:val="32"/>
        </w:rPr>
      </w:pPr>
      <w:r>
        <w:rPr>
          <w:b w:val="0"/>
          <w:sz w:val="32"/>
        </w:rPr>
        <w:t>Appendix B: Premium Functionality</w:t>
      </w:r>
    </w:p>
    <w:p>
      <w:pPr>
        <w:pStyle w:val="BodyText"/>
        <w:spacing w:before="1"/>
        <w:rPr>
          <w:b w:val="0"/>
          <w:sz w:val="27"/>
        </w:rPr>
      </w:pPr>
    </w:p>
    <w:tbl>
      <w:tblPr>
        <w:tblW w:w="0" w:type="auto"/>
        <w:jc w:val="left"/>
        <w:tblInd w:w="451" w:type="dxa"/>
        <w:tblBorders>
          <w:top w:val="single" w:sz="8" w:space="0" w:color="4F81BB"/>
          <w:left w:val="single" w:sz="8" w:space="0" w:color="4F81BB"/>
          <w:bottom w:val="single" w:sz="8" w:space="0" w:color="4F81BB"/>
          <w:right w:val="single" w:sz="8" w:space="0" w:color="4F81BB"/>
          <w:insideH w:val="single" w:sz="8" w:space="0" w:color="4F81BB"/>
          <w:insideV w:val="single" w:sz="8" w:space="0" w:color="4F81BB"/>
        </w:tblBorders>
        <w:tblLayout w:type="fixed"/>
        <w:tblCellMar>
          <w:top w:w="0" w:type="dxa"/>
          <w:left w:w="0" w:type="dxa"/>
          <w:bottom w:w="0" w:type="dxa"/>
          <w:right w:w="0" w:type="dxa"/>
        </w:tblCellMar>
        <w:tblLook w:val="01E0"/>
      </w:tblPr>
      <w:tblGrid>
        <w:gridCol w:w="3304"/>
        <w:gridCol w:w="3306"/>
        <w:gridCol w:w="3306"/>
      </w:tblGrid>
      <w:tr>
        <w:trPr>
          <w:trHeight w:val="192" w:hRule="atLeast"/>
        </w:trPr>
        <w:tc>
          <w:tcPr>
            <w:tcW w:w="9916" w:type="dxa"/>
            <w:gridSpan w:val="3"/>
            <w:shd w:val="clear" w:color="auto" w:fill="006EC0"/>
          </w:tcPr>
          <w:p>
            <w:pPr>
              <w:pStyle w:val="TableParagraph"/>
              <w:spacing w:line="172" w:lineRule="exact"/>
              <w:ind w:left="3675" w:right="3647"/>
              <w:jc w:val="center"/>
              <w:rPr>
                <w:sz w:val="16"/>
              </w:rPr>
            </w:pPr>
            <w:r>
              <w:rPr>
                <w:color w:val="FFFFFF"/>
                <w:sz w:val="16"/>
              </w:rPr>
              <w:t>Service Order Management</w:t>
            </w:r>
          </w:p>
        </w:tc>
      </w:tr>
      <w:tr>
        <w:trPr>
          <w:trHeight w:val="192" w:hRule="atLeast"/>
        </w:trPr>
        <w:tc>
          <w:tcPr>
            <w:tcW w:w="3304" w:type="dxa"/>
            <w:tcBorders>
              <w:left w:val="single" w:sz="8" w:space="0" w:color="93B3D5"/>
              <w:bottom w:val="single" w:sz="8" w:space="0" w:color="93B3D5"/>
              <w:right w:val="single" w:sz="8" w:space="0" w:color="93B3D5"/>
            </w:tcBorders>
          </w:tcPr>
          <w:p>
            <w:pPr>
              <w:pStyle w:val="TableParagraph"/>
              <w:spacing w:line="172" w:lineRule="exact"/>
              <w:rPr>
                <w:sz w:val="16"/>
              </w:rPr>
            </w:pPr>
            <w:r>
              <w:rPr>
                <w:sz w:val="16"/>
              </w:rPr>
              <w:t>Service Order Management</w:t>
            </w:r>
          </w:p>
        </w:tc>
        <w:tc>
          <w:tcPr>
            <w:tcW w:w="3306" w:type="dxa"/>
            <w:tcBorders>
              <w:left w:val="single" w:sz="8" w:space="0" w:color="93B3D5"/>
              <w:bottom w:val="single" w:sz="8" w:space="0" w:color="93B3D5"/>
              <w:right w:val="single" w:sz="8" w:space="0" w:color="93B3D5"/>
            </w:tcBorders>
          </w:tcPr>
          <w:p>
            <w:pPr>
              <w:pStyle w:val="TableParagraph"/>
              <w:spacing w:line="172" w:lineRule="exact"/>
              <w:ind w:left="109"/>
              <w:rPr>
                <w:sz w:val="16"/>
              </w:rPr>
            </w:pPr>
            <w:r>
              <w:rPr>
                <w:sz w:val="16"/>
              </w:rPr>
              <w:t>Service Item Management</w:t>
            </w:r>
          </w:p>
        </w:tc>
        <w:tc>
          <w:tcPr>
            <w:tcW w:w="3306" w:type="dxa"/>
            <w:tcBorders>
              <w:left w:val="single" w:sz="8" w:space="0" w:color="93B3D5"/>
              <w:bottom w:val="single" w:sz="8" w:space="0" w:color="93B3D5"/>
              <w:right w:val="single" w:sz="8" w:space="0" w:color="93B3D5"/>
            </w:tcBorders>
          </w:tcPr>
          <w:p>
            <w:pPr>
              <w:pStyle w:val="TableParagraph"/>
              <w:spacing w:line="172" w:lineRule="exact"/>
              <w:ind w:left="110"/>
              <w:rPr>
                <w:sz w:val="16"/>
              </w:rPr>
            </w:pPr>
            <w:r>
              <w:rPr>
                <w:sz w:val="16"/>
              </w:rPr>
              <w:t>Planning and Dispatching</w:t>
            </w:r>
          </w:p>
        </w:tc>
      </w:tr>
      <w:tr>
        <w:trPr>
          <w:trHeight w:val="192" w:hRule="atLeast"/>
        </w:trPr>
        <w:tc>
          <w:tcPr>
            <w:tcW w:w="3304"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rPr>
                <w:sz w:val="16"/>
              </w:rPr>
            </w:pPr>
            <w:r>
              <w:rPr>
                <w:sz w:val="16"/>
              </w:rPr>
              <w:t>Service Price Management</w:t>
            </w: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ind w:left="109"/>
              <w:rPr>
                <w:sz w:val="16"/>
              </w:rPr>
            </w:pPr>
            <w:r>
              <w:rPr>
                <w:sz w:val="16"/>
              </w:rPr>
              <w:t>Service Contract Management</w:t>
            </w: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240" w:lineRule="auto"/>
              <w:ind w:left="0"/>
              <w:rPr>
                <w:rFonts w:ascii="Times New Roman"/>
                <w:sz w:val="12"/>
              </w:rPr>
            </w:pPr>
          </w:p>
        </w:tc>
      </w:tr>
      <w:tr>
        <w:trPr>
          <w:trHeight w:val="189" w:hRule="atLeast"/>
        </w:trPr>
        <w:tc>
          <w:tcPr>
            <w:tcW w:w="9916" w:type="dxa"/>
            <w:gridSpan w:val="3"/>
            <w:tcBorders>
              <w:top w:val="single" w:sz="8" w:space="0" w:color="93B3D5"/>
              <w:left w:val="single" w:sz="8" w:space="0" w:color="93B3D5"/>
              <w:bottom w:val="single" w:sz="8" w:space="0" w:color="93B3D5"/>
              <w:right w:val="single" w:sz="8" w:space="0" w:color="93B3D5"/>
            </w:tcBorders>
            <w:shd w:val="clear" w:color="auto" w:fill="006EC0"/>
          </w:tcPr>
          <w:p>
            <w:pPr>
              <w:pStyle w:val="TableParagraph"/>
              <w:spacing w:line="169" w:lineRule="exact"/>
              <w:ind w:left="3675" w:right="3642"/>
              <w:jc w:val="center"/>
              <w:rPr>
                <w:sz w:val="16"/>
              </w:rPr>
            </w:pPr>
            <w:r>
              <w:rPr>
                <w:color w:val="FFFFFF"/>
                <w:sz w:val="16"/>
              </w:rPr>
              <w:t>Manufacturing</w:t>
            </w:r>
          </w:p>
        </w:tc>
      </w:tr>
      <w:tr>
        <w:trPr>
          <w:trHeight w:val="192" w:hRule="atLeast"/>
        </w:trPr>
        <w:tc>
          <w:tcPr>
            <w:tcW w:w="3304"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rPr>
                <w:sz w:val="16"/>
              </w:rPr>
            </w:pPr>
            <w:r>
              <w:rPr>
                <w:sz w:val="16"/>
              </w:rPr>
              <w:t>Production Orders</w:t>
            </w: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ind w:left="109"/>
              <w:rPr>
                <w:sz w:val="16"/>
              </w:rPr>
            </w:pPr>
            <w:r>
              <w:rPr>
                <w:sz w:val="16"/>
              </w:rPr>
              <w:t>Basic Supply Planning</w:t>
            </w: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ind w:left="110"/>
              <w:rPr>
                <w:sz w:val="16"/>
              </w:rPr>
            </w:pPr>
            <w:r>
              <w:rPr>
                <w:sz w:val="16"/>
              </w:rPr>
              <w:t>Finite Loading</w:t>
            </w:r>
          </w:p>
        </w:tc>
      </w:tr>
      <w:tr>
        <w:trPr>
          <w:trHeight w:val="192" w:hRule="atLeast"/>
        </w:trPr>
        <w:tc>
          <w:tcPr>
            <w:tcW w:w="3304"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rPr>
                <w:sz w:val="16"/>
              </w:rPr>
            </w:pPr>
            <w:r>
              <w:rPr>
                <w:sz w:val="16"/>
              </w:rPr>
              <w:t>Production Bill of Materials</w:t>
            </w: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ind w:left="109"/>
              <w:rPr>
                <w:sz w:val="16"/>
              </w:rPr>
            </w:pPr>
            <w:r>
              <w:rPr>
                <w:sz w:val="16"/>
              </w:rPr>
              <w:t>Demand Forecasting</w:t>
            </w: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ind w:left="110"/>
              <w:rPr>
                <w:sz w:val="16"/>
              </w:rPr>
            </w:pPr>
            <w:r>
              <w:rPr>
                <w:sz w:val="16"/>
              </w:rPr>
              <w:t>Sales and Inventory Forecasting</w:t>
            </w:r>
          </w:p>
        </w:tc>
      </w:tr>
      <w:tr>
        <w:trPr>
          <w:trHeight w:val="192" w:hRule="atLeast"/>
        </w:trPr>
        <w:tc>
          <w:tcPr>
            <w:tcW w:w="3304"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rPr>
                <w:sz w:val="16"/>
              </w:rPr>
            </w:pPr>
            <w:r>
              <w:rPr>
                <w:sz w:val="16"/>
              </w:rPr>
              <w:t>Version Management</w:t>
            </w: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ind w:left="109"/>
              <w:rPr>
                <w:sz w:val="16"/>
              </w:rPr>
            </w:pPr>
            <w:r>
              <w:rPr>
                <w:sz w:val="16"/>
              </w:rPr>
              <w:t>Basic Capacity Planning</w:t>
            </w: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ind w:left="110"/>
              <w:rPr>
                <w:sz w:val="16"/>
              </w:rPr>
            </w:pPr>
            <w:r>
              <w:rPr>
                <w:sz w:val="16"/>
              </w:rPr>
              <w:t>Agile Manufacturing</w:t>
            </w:r>
          </w:p>
        </w:tc>
      </w:tr>
      <w:tr>
        <w:trPr>
          <w:trHeight w:val="192" w:hRule="atLeast"/>
        </w:trPr>
        <w:tc>
          <w:tcPr>
            <w:tcW w:w="3304" w:type="dxa"/>
            <w:tcBorders>
              <w:top w:val="single" w:sz="8" w:space="0" w:color="93B3D5"/>
              <w:left w:val="single" w:sz="8" w:space="0" w:color="93B3D5"/>
              <w:bottom w:val="single" w:sz="8" w:space="0" w:color="93B3D5"/>
              <w:right w:val="single" w:sz="8" w:space="0" w:color="93B3D5"/>
            </w:tcBorders>
          </w:tcPr>
          <w:p>
            <w:pPr>
              <w:pStyle w:val="TableParagraph"/>
              <w:spacing w:line="172" w:lineRule="exact"/>
              <w:rPr>
                <w:sz w:val="16"/>
              </w:rPr>
            </w:pPr>
            <w:r>
              <w:rPr>
                <w:sz w:val="16"/>
              </w:rPr>
              <w:t>Machine Centers</w:t>
            </w: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240" w:lineRule="auto"/>
              <w:ind w:left="0"/>
              <w:rPr>
                <w:rFonts w:ascii="Times New Roman"/>
                <w:sz w:val="12"/>
              </w:rPr>
            </w:pPr>
          </w:p>
        </w:tc>
        <w:tc>
          <w:tcPr>
            <w:tcW w:w="3306" w:type="dxa"/>
            <w:tcBorders>
              <w:top w:val="single" w:sz="8" w:space="0" w:color="93B3D5"/>
              <w:left w:val="single" w:sz="8" w:space="0" w:color="93B3D5"/>
              <w:bottom w:val="single" w:sz="8" w:space="0" w:color="93B3D5"/>
              <w:right w:val="single" w:sz="8" w:space="0" w:color="93B3D5"/>
            </w:tcBorders>
          </w:tcPr>
          <w:p>
            <w:pPr>
              <w:pStyle w:val="TableParagraph"/>
              <w:spacing w:line="240" w:lineRule="auto"/>
              <w:ind w:left="0"/>
              <w:rPr>
                <w:rFonts w:ascii="Times New Roman"/>
                <w:sz w:val="12"/>
              </w:rPr>
            </w:pPr>
          </w:p>
        </w:tc>
      </w:tr>
    </w:tbl>
    <w:p>
      <w:pPr>
        <w:spacing w:line="177" w:lineRule="exact" w:before="143"/>
        <w:ind w:left="568" w:right="552" w:firstLine="0"/>
        <w:jc w:val="center"/>
        <w:rPr>
          <w:rFonts w:ascii="Segoe UI"/>
          <w:b/>
          <w:sz w:val="14"/>
        </w:rPr>
      </w:pPr>
      <w:r>
        <w:rPr>
          <w:rFonts w:ascii="Segoe UI"/>
          <w:b/>
          <w:sz w:val="14"/>
        </w:rPr>
        <w:t>Bond Consulting Services</w:t>
      </w:r>
    </w:p>
    <w:p>
      <w:pPr>
        <w:spacing w:line="168" w:lineRule="exact" w:before="0"/>
        <w:ind w:left="568" w:right="474" w:firstLine="0"/>
        <w:jc w:val="center"/>
        <w:rPr>
          <w:rFonts w:ascii="Segoe UI"/>
          <w:b/>
          <w:sz w:val="14"/>
        </w:rPr>
      </w:pPr>
      <w:r>
        <w:rPr>
          <w:rFonts w:ascii="Segoe UI"/>
          <w:b/>
          <w:sz w:val="14"/>
        </w:rPr>
        <w:t>3450 E. Spring Street Suite 108, Long Beach, CA 90806</w:t>
      </w:r>
    </w:p>
    <w:p>
      <w:pPr>
        <w:spacing w:line="216" w:lineRule="auto" w:before="6"/>
        <w:ind w:left="4307" w:right="1645" w:hanging="637"/>
        <w:jc w:val="left"/>
        <w:rPr>
          <w:rFonts w:ascii="Segoe UI"/>
          <w:b/>
          <w:sz w:val="14"/>
        </w:rPr>
      </w:pPr>
      <w:r>
        <w:rPr>
          <w:rFonts w:ascii="Segoe UI"/>
          <w:b/>
          <w:sz w:val="14"/>
        </w:rPr>
        <w:t>(562) 988-345</w:t>
      </w:r>
      <w:hyperlink r:id="rId10">
        <w:r>
          <w:rPr>
            <w:rFonts w:ascii="Segoe UI"/>
            <w:b/>
            <w:sz w:val="14"/>
          </w:rPr>
          <w:t>1 sales@BondConsultingServices.com</w:t>
        </w:r>
      </w:hyperlink>
      <w:hyperlink r:id="rId11">
        <w:r>
          <w:rPr>
            <w:rFonts w:ascii="Segoe UI"/>
            <w:b/>
            <w:sz w:val="14"/>
          </w:rPr>
          <w:t> www.BondConsultingServices.com</w:t>
        </w:r>
      </w:hyperlink>
    </w:p>
    <w:sectPr>
      <w:pgSz w:w="10800" w:h="15600"/>
      <w:pgMar w:header="0" w:footer="0" w:top="6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w:altName w:val="Segoe UI"/>
    <w:charset w:val="0"/>
    <w:family w:val="swiss"/>
    <w:pitch w:val="variable"/>
  </w:font>
  <w:font w:name="Segoe UI Light">
    <w:altName w:val="Segoe UI Light"/>
    <w:charset w:val="0"/>
    <w:family w:val="swiss"/>
    <w:pitch w:val="variable"/>
  </w:font>
  <w:font w:name="Symbol">
    <w:altName w:val="Symbol"/>
    <w:charset w:val="2"/>
    <w:family w:val="roman"/>
    <w:pitch w:val="variable"/>
  </w:font>
  <w:font w:name="Segoe UI Semibold">
    <w:altName w:val="Segoe UI Semibold"/>
    <w:charset w:val="0"/>
    <w:family w:val="swiss"/>
    <w:pitch w:val="variable"/>
  </w:font>
  <w:font w:name="Calibri">
    <w:altName w:val="Calibri"/>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540pt;height:23.4pt;mso-position-horizontal-relative:page;mso-position-vertical-relative:page;z-index:-16276480" coordorigin="0,0" coordsize="10800,468">
          <v:rect style="position:absolute;left:0;top:0;width:10800;height:324" filled="true" fillcolor="#0075ab" stroked="false">
            <v:fill type="solid"/>
          </v:rect>
          <v:rect style="position:absolute;left:0;top:324;width:10800;height:144" filled="true" fillcolor="#12c2cf" stroked="false">
            <v:fill type="solid"/>
          </v:rect>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pt;width:540pt;height:33pt;mso-position-horizontal-relative:page;mso-position-vertical-relative:page;z-index:-16275968" coordorigin="0,0" coordsize="10800,660">
          <v:rect style="position:absolute;left:0;top:0;width:10800;height:516" filled="true" fillcolor="#0075ab" stroked="false">
            <v:fill type="solid"/>
          </v:rect>
          <v:rect style="position:absolute;left:0;top:516;width:10800;height:144" filled="true" fillcolor="#12c2cf" stroked="false">
            <v:fill type="solid"/>
          </v:rect>
          <w10:wrap type="no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38" w:hanging="272"/>
      </w:pPr>
      <w:rPr>
        <w:rFonts w:hint="default" w:ascii="Arial" w:hAnsi="Arial" w:eastAsia="Arial" w:cs="Arial"/>
        <w:w w:val="99"/>
        <w:sz w:val="20"/>
        <w:szCs w:val="20"/>
        <w:lang w:val="en-us" w:eastAsia="en-US" w:bidi="ar-SA"/>
      </w:rPr>
    </w:lvl>
    <w:lvl w:ilvl="1">
      <w:start w:val="0"/>
      <w:numFmt w:val="bullet"/>
      <w:lvlText w:val="•"/>
      <w:lvlJc w:val="left"/>
      <w:pPr>
        <w:ind w:left="1099" w:hanging="269"/>
      </w:pPr>
      <w:rPr>
        <w:rFonts w:hint="default" w:ascii="Arial" w:hAnsi="Arial" w:eastAsia="Arial" w:cs="Arial"/>
        <w:w w:val="99"/>
        <w:sz w:val="20"/>
        <w:szCs w:val="20"/>
        <w:lang w:val="en-us" w:eastAsia="en-US" w:bidi="ar-SA"/>
      </w:rPr>
    </w:lvl>
    <w:lvl w:ilvl="2">
      <w:start w:val="0"/>
      <w:numFmt w:val="bullet"/>
      <w:lvlText w:val="•"/>
      <w:lvlJc w:val="left"/>
      <w:pPr>
        <w:ind w:left="2177" w:hanging="269"/>
      </w:pPr>
      <w:rPr>
        <w:rFonts w:hint="default"/>
        <w:lang w:val="en-us" w:eastAsia="en-US" w:bidi="ar-SA"/>
      </w:rPr>
    </w:lvl>
    <w:lvl w:ilvl="3">
      <w:start w:val="0"/>
      <w:numFmt w:val="bullet"/>
      <w:lvlText w:val="•"/>
      <w:lvlJc w:val="left"/>
      <w:pPr>
        <w:ind w:left="3255" w:hanging="269"/>
      </w:pPr>
      <w:rPr>
        <w:rFonts w:hint="default"/>
        <w:lang w:val="en-us" w:eastAsia="en-US" w:bidi="ar-SA"/>
      </w:rPr>
    </w:lvl>
    <w:lvl w:ilvl="4">
      <w:start w:val="0"/>
      <w:numFmt w:val="bullet"/>
      <w:lvlText w:val="•"/>
      <w:lvlJc w:val="left"/>
      <w:pPr>
        <w:ind w:left="4333" w:hanging="269"/>
      </w:pPr>
      <w:rPr>
        <w:rFonts w:hint="default"/>
        <w:lang w:val="en-us" w:eastAsia="en-US" w:bidi="ar-SA"/>
      </w:rPr>
    </w:lvl>
    <w:lvl w:ilvl="5">
      <w:start w:val="0"/>
      <w:numFmt w:val="bullet"/>
      <w:lvlText w:val="•"/>
      <w:lvlJc w:val="left"/>
      <w:pPr>
        <w:ind w:left="5411" w:hanging="269"/>
      </w:pPr>
      <w:rPr>
        <w:rFonts w:hint="default"/>
        <w:lang w:val="en-us" w:eastAsia="en-US" w:bidi="ar-SA"/>
      </w:rPr>
    </w:lvl>
    <w:lvl w:ilvl="6">
      <w:start w:val="0"/>
      <w:numFmt w:val="bullet"/>
      <w:lvlText w:val="•"/>
      <w:lvlJc w:val="left"/>
      <w:pPr>
        <w:ind w:left="6488" w:hanging="269"/>
      </w:pPr>
      <w:rPr>
        <w:rFonts w:hint="default"/>
        <w:lang w:val="en-us" w:eastAsia="en-US" w:bidi="ar-SA"/>
      </w:rPr>
    </w:lvl>
    <w:lvl w:ilvl="7">
      <w:start w:val="0"/>
      <w:numFmt w:val="bullet"/>
      <w:lvlText w:val="•"/>
      <w:lvlJc w:val="left"/>
      <w:pPr>
        <w:ind w:left="7566" w:hanging="269"/>
      </w:pPr>
      <w:rPr>
        <w:rFonts w:hint="default"/>
        <w:lang w:val="en-us" w:eastAsia="en-US" w:bidi="ar-SA"/>
      </w:rPr>
    </w:lvl>
    <w:lvl w:ilvl="8">
      <w:start w:val="0"/>
      <w:numFmt w:val="bullet"/>
      <w:lvlText w:val="•"/>
      <w:lvlJc w:val="left"/>
      <w:pPr>
        <w:ind w:left="8644" w:hanging="269"/>
      </w:pPr>
      <w:rPr>
        <w:rFonts w:hint="default"/>
        <w:lang w:val="en-us" w:eastAsia="en-US" w:bidi="ar-SA"/>
      </w:rPr>
    </w:lvl>
  </w:abstractNum>
  <w:abstractNum w:abstractNumId="0">
    <w:multiLevelType w:val="hybridMultilevel"/>
    <w:lvl w:ilvl="0">
      <w:start w:val="0"/>
      <w:numFmt w:val="bullet"/>
      <w:lvlText w:val="•"/>
      <w:lvlJc w:val="left"/>
      <w:pPr>
        <w:ind w:left="1099" w:hanging="269"/>
      </w:pPr>
      <w:rPr>
        <w:rFonts w:hint="default" w:ascii="Arial" w:hAnsi="Arial" w:eastAsia="Arial" w:cs="Arial"/>
        <w:w w:val="99"/>
        <w:sz w:val="20"/>
        <w:szCs w:val="20"/>
        <w:lang w:val="en-us" w:eastAsia="en-US" w:bidi="ar-SA"/>
      </w:rPr>
    </w:lvl>
    <w:lvl w:ilvl="1">
      <w:start w:val="0"/>
      <w:numFmt w:val="bullet"/>
      <w:lvlText w:val="•"/>
      <w:lvlJc w:val="left"/>
      <w:pPr>
        <w:ind w:left="2070" w:hanging="269"/>
      </w:pPr>
      <w:rPr>
        <w:rFonts w:hint="default"/>
        <w:lang w:val="en-us" w:eastAsia="en-US" w:bidi="ar-SA"/>
      </w:rPr>
    </w:lvl>
    <w:lvl w:ilvl="2">
      <w:start w:val="0"/>
      <w:numFmt w:val="bullet"/>
      <w:lvlText w:val="•"/>
      <w:lvlJc w:val="left"/>
      <w:pPr>
        <w:ind w:left="3040" w:hanging="269"/>
      </w:pPr>
      <w:rPr>
        <w:rFonts w:hint="default"/>
        <w:lang w:val="en-us" w:eastAsia="en-US" w:bidi="ar-SA"/>
      </w:rPr>
    </w:lvl>
    <w:lvl w:ilvl="3">
      <w:start w:val="0"/>
      <w:numFmt w:val="bullet"/>
      <w:lvlText w:val="•"/>
      <w:lvlJc w:val="left"/>
      <w:pPr>
        <w:ind w:left="4010" w:hanging="269"/>
      </w:pPr>
      <w:rPr>
        <w:rFonts w:hint="default"/>
        <w:lang w:val="en-us" w:eastAsia="en-US" w:bidi="ar-SA"/>
      </w:rPr>
    </w:lvl>
    <w:lvl w:ilvl="4">
      <w:start w:val="0"/>
      <w:numFmt w:val="bullet"/>
      <w:lvlText w:val="•"/>
      <w:lvlJc w:val="left"/>
      <w:pPr>
        <w:ind w:left="4980" w:hanging="269"/>
      </w:pPr>
      <w:rPr>
        <w:rFonts w:hint="default"/>
        <w:lang w:val="en-us" w:eastAsia="en-US" w:bidi="ar-SA"/>
      </w:rPr>
    </w:lvl>
    <w:lvl w:ilvl="5">
      <w:start w:val="0"/>
      <w:numFmt w:val="bullet"/>
      <w:lvlText w:val="•"/>
      <w:lvlJc w:val="left"/>
      <w:pPr>
        <w:ind w:left="5950" w:hanging="269"/>
      </w:pPr>
      <w:rPr>
        <w:rFonts w:hint="default"/>
        <w:lang w:val="en-us" w:eastAsia="en-US" w:bidi="ar-SA"/>
      </w:rPr>
    </w:lvl>
    <w:lvl w:ilvl="6">
      <w:start w:val="0"/>
      <w:numFmt w:val="bullet"/>
      <w:lvlText w:val="•"/>
      <w:lvlJc w:val="left"/>
      <w:pPr>
        <w:ind w:left="6920" w:hanging="269"/>
      </w:pPr>
      <w:rPr>
        <w:rFonts w:hint="default"/>
        <w:lang w:val="en-us" w:eastAsia="en-US" w:bidi="ar-SA"/>
      </w:rPr>
    </w:lvl>
    <w:lvl w:ilvl="7">
      <w:start w:val="0"/>
      <w:numFmt w:val="bullet"/>
      <w:lvlText w:val="•"/>
      <w:lvlJc w:val="left"/>
      <w:pPr>
        <w:ind w:left="7890" w:hanging="269"/>
      </w:pPr>
      <w:rPr>
        <w:rFonts w:hint="default"/>
        <w:lang w:val="en-us" w:eastAsia="en-US" w:bidi="ar-SA"/>
      </w:rPr>
    </w:lvl>
    <w:lvl w:ilvl="8">
      <w:start w:val="0"/>
      <w:numFmt w:val="bullet"/>
      <w:lvlText w:val="•"/>
      <w:lvlJc w:val="left"/>
      <w:pPr>
        <w:ind w:left="8860" w:hanging="269"/>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Light" w:hAnsi="Segoe UI Light" w:eastAsia="Segoe UI Light" w:cs="Segoe UI Light"/>
      <w:lang w:val="en-us" w:eastAsia="en-US" w:bidi="ar-SA"/>
    </w:rPr>
  </w:style>
  <w:style w:styleId="BodyText" w:type="paragraph">
    <w:name w:val="Body Text"/>
    <w:basedOn w:val="Normal"/>
    <w:uiPriority w:val="1"/>
    <w:qFormat/>
    <w:pPr/>
    <w:rPr>
      <w:rFonts w:ascii="Segoe UI Light" w:hAnsi="Segoe UI Light" w:eastAsia="Segoe UI Light" w:cs="Segoe UI Light"/>
      <w:sz w:val="20"/>
      <w:szCs w:val="20"/>
      <w:lang w:val="en-us" w:eastAsia="en-US" w:bidi="ar-SA"/>
    </w:rPr>
  </w:style>
  <w:style w:styleId="Heading1" w:type="paragraph">
    <w:name w:val="Heading 1"/>
    <w:basedOn w:val="Normal"/>
    <w:uiPriority w:val="1"/>
    <w:qFormat/>
    <w:pPr>
      <w:spacing w:before="1"/>
      <w:ind w:left="566"/>
      <w:outlineLvl w:val="1"/>
    </w:pPr>
    <w:rPr>
      <w:rFonts w:ascii="Segoe UI Light" w:hAnsi="Segoe UI Light" w:eastAsia="Segoe UI Light" w:cs="Segoe UI Light"/>
      <w:sz w:val="32"/>
      <w:szCs w:val="32"/>
      <w:lang w:val="en-us" w:eastAsia="en-US" w:bidi="ar-SA"/>
    </w:rPr>
  </w:style>
  <w:style w:styleId="Heading2" w:type="paragraph">
    <w:name w:val="Heading 2"/>
    <w:basedOn w:val="Normal"/>
    <w:uiPriority w:val="1"/>
    <w:qFormat/>
    <w:pPr>
      <w:spacing w:before="101"/>
      <w:ind w:left="568" w:right="570"/>
      <w:jc w:val="center"/>
      <w:outlineLvl w:val="2"/>
    </w:pPr>
    <w:rPr>
      <w:rFonts w:ascii="Segoe UI Light" w:hAnsi="Segoe UI Light" w:eastAsia="Segoe UI Light" w:cs="Segoe UI Light"/>
      <w:sz w:val="28"/>
      <w:szCs w:val="28"/>
      <w:lang w:val="en-us" w:eastAsia="en-US" w:bidi="ar-SA"/>
    </w:rPr>
  </w:style>
  <w:style w:styleId="Heading3" w:type="paragraph">
    <w:name w:val="Heading 3"/>
    <w:basedOn w:val="Normal"/>
    <w:uiPriority w:val="1"/>
    <w:qFormat/>
    <w:pPr>
      <w:spacing w:before="100"/>
      <w:ind w:left="566"/>
      <w:outlineLvl w:val="3"/>
    </w:pPr>
    <w:rPr>
      <w:rFonts w:ascii="Segoe UI Light" w:hAnsi="Segoe UI Light" w:eastAsia="Segoe UI Light" w:cs="Segoe UI Light"/>
      <w:sz w:val="24"/>
      <w:szCs w:val="24"/>
      <w:u w:val="single" w:color="000000"/>
      <w:lang w:val="en-us" w:eastAsia="en-US" w:bidi="ar-SA"/>
    </w:rPr>
  </w:style>
  <w:style w:styleId="Title" w:type="paragraph">
    <w:name w:val="Title"/>
    <w:basedOn w:val="Normal"/>
    <w:uiPriority w:val="1"/>
    <w:qFormat/>
    <w:pPr>
      <w:spacing w:before="101"/>
      <w:ind w:left="906" w:right="1138" w:firstLine="559"/>
    </w:pPr>
    <w:rPr>
      <w:rFonts w:ascii="Segoe UI" w:hAnsi="Segoe UI" w:eastAsia="Segoe UI" w:cs="Segoe UI"/>
      <w:sz w:val="52"/>
      <w:szCs w:val="52"/>
      <w:lang w:val="en-us" w:eastAsia="en-US" w:bidi="ar-SA"/>
    </w:rPr>
  </w:style>
  <w:style w:styleId="ListParagraph" w:type="paragraph">
    <w:name w:val="List Paragraph"/>
    <w:basedOn w:val="Normal"/>
    <w:uiPriority w:val="1"/>
    <w:qFormat/>
    <w:pPr>
      <w:spacing w:line="240" w:lineRule="exact"/>
      <w:ind w:left="1099" w:hanging="270"/>
    </w:pPr>
    <w:rPr>
      <w:rFonts w:ascii="Segoe UI Light" w:hAnsi="Segoe UI Light" w:eastAsia="Segoe UI Light" w:cs="Segoe UI Light"/>
      <w:lang w:val="en-us" w:eastAsia="en-US" w:bidi="ar-SA"/>
    </w:rPr>
  </w:style>
  <w:style w:styleId="TableParagraph" w:type="paragraph">
    <w:name w:val="Table Paragraph"/>
    <w:basedOn w:val="Normal"/>
    <w:uiPriority w:val="1"/>
    <w:qFormat/>
    <w:pPr>
      <w:spacing w:line="151" w:lineRule="exact"/>
      <w:ind w:left="108"/>
    </w:pPr>
    <w:rPr>
      <w:rFonts w:ascii="Segoe UI" w:hAnsi="Segoe UI" w:eastAsia="Segoe UI" w:cs="Segoe U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sales@BondConsultingServices.com" TargetMode="External"/><Relationship Id="rId11" Type="http://schemas.openxmlformats.org/officeDocument/2006/relationships/hyperlink" Target="http://www.BondConsultingServices.com/"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hyperlink" Target="https://abouttmc.com/dynamics-365-business-central/" TargetMode="External"/><Relationship Id="rId25" Type="http://schemas.openxmlformats.org/officeDocument/2006/relationships/hyperlink" Target="https://abouttmc.com/microsoft-dynamics-partner/" TargetMode="External"/><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header" Target="header2.xml"/><Relationship Id="rId29" Type="http://schemas.openxmlformats.org/officeDocument/2006/relationships/image" Target="media/image19.pn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hyperlink" Target="https://partner.microsoft.com/en-US/cloud-solution-provider" TargetMode="External"/><Relationship Id="rId34" Type="http://schemas.openxmlformats.org/officeDocument/2006/relationships/hyperlink" Target="https://aka.ms/dynamics_365_international_availability_deck" TargetMode="External"/><Relationship Id="rId35" Type="http://schemas.openxmlformats.org/officeDocument/2006/relationships/hyperlink" Target="https://community.dynamics.com/b/msftdynamicsblog" TargetMode="External"/><Relationship Id="rId36" Type="http://schemas.openxmlformats.org/officeDocument/2006/relationships/hyperlink" Target="https://mbs.microsoft.com/customersource/" TargetMode="External"/><Relationship Id="rId37" Type="http://schemas.openxmlformats.org/officeDocument/2006/relationships/hyperlink" Target="http://www.microsoft.com/downloads" TargetMode="External"/><Relationship Id="rId38" Type="http://schemas.openxmlformats.org/officeDocument/2006/relationships/hyperlink" Target="https://mspartner.microsoft.com/en/us/Pages/solutions/cloud-reseller-%20overview.aspx" TargetMode="External"/><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Chi</dc:creator>
  <dc:title>Dynamics 365 Business Central Capabilities Guide.pdf</dc:title>
  <dcterms:created xsi:type="dcterms:W3CDTF">2020-09-25T03:54:23Z</dcterms:created>
  <dcterms:modified xsi:type="dcterms:W3CDTF">2020-09-25T03:54:23Z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2019-12-19T00:00:00Z</vt:filetime>
  </property>
  <property fmtid="{D5CDD505-2E9C-101B-9397-08002B2CF9AE}" pid="3" name="Creator">
    <vt:lpwstr>Microsoft® PowerPoint® for Office 365</vt:lpwstr>
  </property>
  <property fmtid="{D5CDD505-2E9C-101B-9397-08002B2CF9AE}" pid="4" name="LastSaved">
    <vt:filetime>2020-09-25T00:00:00Z</vt:filetime>
  </property>
</Properties>
</file>